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Layout w:type="fixed"/>
        <w:tblLook w:val="04A0" w:firstRow="1" w:lastRow="0" w:firstColumn="1" w:lastColumn="0" w:noHBand="0" w:noVBand="1"/>
      </w:tblPr>
      <w:tblGrid>
        <w:gridCol w:w="5083"/>
        <w:gridCol w:w="5083"/>
      </w:tblGrid>
      <w:tr w:rsidR="008A0BF7" w14:paraId="62A214DA" w14:textId="77777777">
        <w:trPr>
          <w:jc w:val="center"/>
        </w:trPr>
        <w:tc>
          <w:tcPr>
            <w:tcW w:w="5083" w:type="dxa"/>
            <w:tcMar>
              <w:top w:w="20" w:type="dxa"/>
              <w:left w:w="5" w:type="dxa"/>
              <w:bottom w:w="20" w:type="dxa"/>
              <w:right w:w="5" w:type="dxa"/>
            </w:tcMar>
            <w:vAlign w:val="center"/>
          </w:tcPr>
          <w:p w14:paraId="5EE510F8" w14:textId="77777777" w:rsidR="008A0BF7" w:rsidRDefault="00D00288">
            <w:r>
              <w:rPr>
                <w:rFonts w:ascii="Comfortaa" w:eastAsia="Comfortaa" w:hAnsi="Comfortaa"/>
                <w:b/>
                <w:color w:val="3E2B8F"/>
                <w:sz w:val="46"/>
              </w:rPr>
              <w:t>MANUDEN</w:t>
            </w:r>
            <w:r>
              <w:rPr>
                <w:rFonts w:eastAsia="Aptos"/>
                <w:b/>
                <w:color w:val="F3C300"/>
                <w:sz w:val="26"/>
              </w:rPr>
              <w:t xml:space="preserve">  PRIMARY SCHOOL</w:t>
            </w:r>
          </w:p>
          <w:p w14:paraId="14C8D8F5" w14:textId="77777777" w:rsidR="008A0BF7" w:rsidRDefault="00D00288">
            <w:r>
              <w:rPr>
                <w:rFonts w:eastAsia="Aptos"/>
                <w:sz w:val="19"/>
              </w:rPr>
              <w:t>A Small School with Big Ideas</w:t>
            </w:r>
          </w:p>
        </w:tc>
        <w:tc>
          <w:tcPr>
            <w:tcW w:w="5083" w:type="dxa"/>
            <w:tcMar>
              <w:top w:w="20" w:type="dxa"/>
              <w:left w:w="5" w:type="dxa"/>
              <w:bottom w:w="20" w:type="dxa"/>
              <w:right w:w="5" w:type="dxa"/>
            </w:tcMar>
            <w:vAlign w:val="center"/>
          </w:tcPr>
          <w:p w14:paraId="7837E0D4" w14:textId="77777777" w:rsidR="008A0BF7" w:rsidRDefault="00D00288">
            <w:pPr>
              <w:jc w:val="center"/>
            </w:pPr>
            <w:r>
              <w:rPr>
                <w:noProof/>
              </w:rPr>
              <w:drawing>
                <wp:inline distT="0" distB="0" distL="0" distR="0" wp14:anchorId="5B7AAFE6" wp14:editId="0CBAEBE4">
                  <wp:extent cx="1078992" cy="1169136"/>
                  <wp:effectExtent l="0" t="0" r="0" b="0"/>
                  <wp:docPr id="1" name="Picture 1" descr="Manuden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den_logo_clean.png"/>
                          <pic:cNvPicPr/>
                        </pic:nvPicPr>
                        <pic:blipFill>
                          <a:blip r:embed="rId8"/>
                          <a:stretch>
                            <a:fillRect/>
                          </a:stretch>
                        </pic:blipFill>
                        <pic:spPr>
                          <a:xfrm>
                            <a:off x="0" y="0"/>
                            <a:ext cx="1078992" cy="1169136"/>
                          </a:xfrm>
                          <a:prstGeom prst="rect">
                            <a:avLst/>
                          </a:prstGeom>
                        </pic:spPr>
                      </pic:pic>
                    </a:graphicData>
                  </a:graphic>
                </wp:inline>
              </w:drawing>
            </w:r>
          </w:p>
          <w:p w14:paraId="12B91D34" w14:textId="77777777" w:rsidR="008A0BF7" w:rsidRDefault="00D00288">
            <w:pPr>
              <w:jc w:val="center"/>
            </w:pPr>
            <w:r>
              <w:rPr>
                <w:rFonts w:eastAsia="Aptos"/>
                <w:b/>
                <w:color w:val="3E2B8F"/>
                <w:sz w:val="17"/>
              </w:rPr>
              <w:t>POLICY DOCUMENT</w:t>
            </w:r>
          </w:p>
        </w:tc>
      </w:tr>
    </w:tbl>
    <w:p w14:paraId="7F06DB8A" w14:textId="77777777" w:rsidR="008A0BF7" w:rsidRDefault="008A0BF7">
      <w:pPr>
        <w:pBdr>
          <w:bottom w:val="single" w:sz="24" w:space="3" w:color="F3C300"/>
        </w:pBdr>
        <w:spacing w:after="280"/>
      </w:pPr>
    </w:p>
    <w:p w14:paraId="45212FFF" w14:textId="77777777" w:rsidR="008A0BF7" w:rsidRDefault="00D00288">
      <w:pPr>
        <w:spacing w:after="80"/>
        <w:jc w:val="center"/>
      </w:pPr>
      <w:r>
        <w:rPr>
          <w:rFonts w:ascii="Comfortaa" w:eastAsia="Comfortaa" w:hAnsi="Comfortaa"/>
          <w:b/>
          <w:color w:val="3E2B8F"/>
          <w:sz w:val="48"/>
        </w:rPr>
        <w:t>SEND POLICY</w:t>
      </w:r>
    </w:p>
    <w:p w14:paraId="253B3503" w14:textId="77777777" w:rsidR="008A0BF7" w:rsidRDefault="00D00288">
      <w:pPr>
        <w:spacing w:after="280"/>
        <w:jc w:val="center"/>
      </w:pPr>
      <w:r>
        <w:rPr>
          <w:rFonts w:eastAsia="Aptos"/>
          <w:sz w:val="21"/>
        </w:rPr>
        <w:t>Growing Hearts  •  Growing Minds  •  Growing Dreams</w:t>
      </w:r>
    </w:p>
    <w:tbl>
      <w:tblPr>
        <w:tblW w:w="0" w:type="auto"/>
        <w:jc w:val="center"/>
        <w:tblLayout w:type="fixed"/>
        <w:tblLook w:val="04A0" w:firstRow="1" w:lastRow="0" w:firstColumn="1" w:lastColumn="0" w:noHBand="0" w:noVBand="1"/>
      </w:tblPr>
      <w:tblGrid>
        <w:gridCol w:w="3389"/>
        <w:gridCol w:w="3389"/>
        <w:gridCol w:w="3389"/>
      </w:tblGrid>
      <w:tr w:rsidR="008A0BF7" w14:paraId="7C2A1783" w14:textId="77777777">
        <w:trPr>
          <w:jc w:val="center"/>
        </w:trPr>
        <w:tc>
          <w:tcPr>
            <w:tcW w:w="3389" w:type="dxa"/>
            <w:shd w:val="clear" w:color="auto" w:fill="3E2B8F"/>
            <w:tcMar>
              <w:top w:w="0" w:type="dxa"/>
              <w:left w:w="0" w:type="dxa"/>
              <w:bottom w:w="0" w:type="dxa"/>
              <w:right w:w="0" w:type="dxa"/>
            </w:tcMar>
          </w:tcPr>
          <w:p w14:paraId="6B6D72BA" w14:textId="77777777" w:rsidR="008A0BF7" w:rsidRDefault="00D00288">
            <w:pPr>
              <w:spacing w:after="0"/>
            </w:pPr>
            <w:r>
              <w:rPr>
                <w:rFonts w:eastAsia="Aptos"/>
                <w:sz w:val="4"/>
              </w:rPr>
              <w:t xml:space="preserve"> </w:t>
            </w:r>
          </w:p>
        </w:tc>
        <w:tc>
          <w:tcPr>
            <w:tcW w:w="3389" w:type="dxa"/>
            <w:shd w:val="clear" w:color="auto" w:fill="F3C300"/>
            <w:tcMar>
              <w:top w:w="0" w:type="dxa"/>
              <w:left w:w="0" w:type="dxa"/>
              <w:bottom w:w="0" w:type="dxa"/>
              <w:right w:w="0" w:type="dxa"/>
            </w:tcMar>
          </w:tcPr>
          <w:p w14:paraId="60D74414" w14:textId="77777777" w:rsidR="008A0BF7" w:rsidRDefault="00D00288">
            <w:pPr>
              <w:spacing w:after="0"/>
            </w:pPr>
            <w:r>
              <w:rPr>
                <w:rFonts w:eastAsia="Aptos"/>
                <w:sz w:val="4"/>
              </w:rPr>
              <w:t xml:space="preserve"> </w:t>
            </w:r>
          </w:p>
        </w:tc>
        <w:tc>
          <w:tcPr>
            <w:tcW w:w="3389" w:type="dxa"/>
            <w:shd w:val="clear" w:color="auto" w:fill="3E2B8F"/>
            <w:tcMar>
              <w:top w:w="0" w:type="dxa"/>
              <w:left w:w="0" w:type="dxa"/>
              <w:bottom w:w="0" w:type="dxa"/>
              <w:right w:w="0" w:type="dxa"/>
            </w:tcMar>
          </w:tcPr>
          <w:p w14:paraId="3D5B8C81" w14:textId="77777777" w:rsidR="008A0BF7" w:rsidRDefault="00D00288">
            <w:pPr>
              <w:spacing w:after="0"/>
            </w:pPr>
            <w:r>
              <w:rPr>
                <w:rFonts w:eastAsia="Aptos"/>
                <w:sz w:val="4"/>
              </w:rPr>
              <w:t xml:space="preserve"> </w:t>
            </w:r>
          </w:p>
        </w:tc>
      </w:tr>
    </w:tbl>
    <w:p w14:paraId="75D4F6F2" w14:textId="77777777" w:rsidR="008A0BF7" w:rsidRDefault="008A0BF7">
      <w:pPr>
        <w:spacing w:after="80"/>
      </w:pPr>
    </w:p>
    <w:p w14:paraId="06129396" w14:textId="77777777" w:rsidR="008A0BF7" w:rsidRDefault="00D00288">
      <w:pPr>
        <w:pBdr>
          <w:bottom w:val="single" w:sz="8" w:space="3" w:color="3E2B8F"/>
        </w:pBdr>
        <w:spacing w:after="120"/>
      </w:pPr>
      <w:r>
        <w:rPr>
          <w:rFonts w:eastAsia="Aptos"/>
          <w:b/>
        </w:rPr>
        <w:t>POLICY INFORMATION</w:t>
      </w:r>
    </w:p>
    <w:tbl>
      <w:tblPr>
        <w:tblW w:w="0" w:type="auto"/>
        <w:jc w:val="center"/>
        <w:tblLayout w:type="fixed"/>
        <w:tblLook w:val="04A0" w:firstRow="1" w:lastRow="0" w:firstColumn="1" w:lastColumn="0" w:noHBand="0" w:noVBand="1"/>
      </w:tblPr>
      <w:tblGrid>
        <w:gridCol w:w="5083"/>
        <w:gridCol w:w="5083"/>
      </w:tblGrid>
      <w:tr w:rsidR="008A0BF7" w14:paraId="785D78B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20" w:type="dxa"/>
              <w:bottom w:w="90" w:type="dxa"/>
              <w:right w:w="120" w:type="dxa"/>
            </w:tcMar>
          </w:tcPr>
          <w:p w14:paraId="11B483BD" w14:textId="77777777" w:rsidR="008A0BF7" w:rsidRDefault="00D00288">
            <w:r>
              <w:rPr>
                <w:rFonts w:eastAsia="Aptos"/>
                <w:b/>
                <w:sz w:val="18"/>
              </w:rPr>
              <w:t>Policy owner / lead</w:t>
            </w:r>
          </w:p>
        </w:tc>
        <w:tc>
          <w:tcPr>
            <w:tcW w:w="5083" w:type="dxa"/>
            <w:tcBorders>
              <w:top w:val="single" w:sz="5" w:space="0" w:color="D8DCE3"/>
              <w:left w:val="single" w:sz="5" w:space="0" w:color="D8DCE3"/>
              <w:bottom w:val="single" w:sz="5" w:space="0" w:color="D8DCE3"/>
              <w:right w:val="single" w:sz="5" w:space="0" w:color="D8DCE3"/>
            </w:tcBorders>
            <w:tcMar>
              <w:top w:w="90" w:type="dxa"/>
              <w:left w:w="120" w:type="dxa"/>
              <w:bottom w:w="90" w:type="dxa"/>
              <w:right w:w="120" w:type="dxa"/>
            </w:tcMar>
          </w:tcPr>
          <w:p w14:paraId="552E9D82" w14:textId="77777777" w:rsidR="008A0BF7" w:rsidRDefault="00D00288">
            <w:r>
              <w:rPr>
                <w:rFonts w:eastAsia="Aptos"/>
                <w:color w:val="5F6674"/>
                <w:sz w:val="18"/>
              </w:rPr>
              <w:t>Eve Reynolds (SENCO)</w:t>
            </w:r>
          </w:p>
        </w:tc>
      </w:tr>
      <w:tr w:rsidR="008A0BF7" w14:paraId="0BA5A1D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20" w:type="dxa"/>
              <w:bottom w:w="90" w:type="dxa"/>
              <w:right w:w="120" w:type="dxa"/>
            </w:tcMar>
          </w:tcPr>
          <w:p w14:paraId="34EDD5CF" w14:textId="77777777" w:rsidR="008A0BF7" w:rsidRDefault="00D00288">
            <w:r>
              <w:rPr>
                <w:rFonts w:eastAsia="Aptos"/>
                <w:b/>
                <w:sz w:val="18"/>
              </w:rPr>
              <w:t>Approved by</w:t>
            </w:r>
          </w:p>
        </w:tc>
        <w:tc>
          <w:tcPr>
            <w:tcW w:w="5083" w:type="dxa"/>
            <w:tcBorders>
              <w:top w:val="single" w:sz="5" w:space="0" w:color="D8DCE3"/>
              <w:left w:val="single" w:sz="5" w:space="0" w:color="D8DCE3"/>
              <w:bottom w:val="single" w:sz="5" w:space="0" w:color="D8DCE3"/>
              <w:right w:val="single" w:sz="5" w:space="0" w:color="D8DCE3"/>
            </w:tcBorders>
            <w:tcMar>
              <w:top w:w="90" w:type="dxa"/>
              <w:left w:w="120" w:type="dxa"/>
              <w:bottom w:w="90" w:type="dxa"/>
              <w:right w:w="120" w:type="dxa"/>
            </w:tcMar>
          </w:tcPr>
          <w:p w14:paraId="23303673" w14:textId="77777777" w:rsidR="008A0BF7" w:rsidRDefault="00D00288">
            <w:r>
              <w:rPr>
                <w:rFonts w:eastAsia="Aptos"/>
                <w:color w:val="5F6674"/>
                <w:sz w:val="18"/>
              </w:rPr>
              <w:t>Governing Body</w:t>
            </w:r>
          </w:p>
        </w:tc>
      </w:tr>
      <w:tr w:rsidR="008A0BF7" w14:paraId="6A50EDA1"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20" w:type="dxa"/>
              <w:bottom w:w="90" w:type="dxa"/>
              <w:right w:w="120" w:type="dxa"/>
            </w:tcMar>
          </w:tcPr>
          <w:p w14:paraId="6C3F44B8" w14:textId="77777777" w:rsidR="008A0BF7" w:rsidRDefault="00D00288">
            <w:r>
              <w:rPr>
                <w:rFonts w:eastAsia="Aptos"/>
                <w:b/>
                <w:sz w:val="18"/>
              </w:rPr>
              <w:t>Approval / adoption date</w:t>
            </w:r>
          </w:p>
        </w:tc>
        <w:tc>
          <w:tcPr>
            <w:tcW w:w="5083" w:type="dxa"/>
            <w:tcBorders>
              <w:top w:val="single" w:sz="5" w:space="0" w:color="D8DCE3"/>
              <w:left w:val="single" w:sz="5" w:space="0" w:color="D8DCE3"/>
              <w:bottom w:val="single" w:sz="5" w:space="0" w:color="D8DCE3"/>
              <w:right w:val="single" w:sz="5" w:space="0" w:color="D8DCE3"/>
            </w:tcBorders>
            <w:tcMar>
              <w:top w:w="90" w:type="dxa"/>
              <w:left w:w="120" w:type="dxa"/>
              <w:bottom w:w="90" w:type="dxa"/>
              <w:right w:w="120" w:type="dxa"/>
            </w:tcMar>
          </w:tcPr>
          <w:p w14:paraId="523C31D7" w14:textId="77777777" w:rsidR="008A0BF7" w:rsidRDefault="00D00288">
            <w:r>
              <w:rPr>
                <w:rFonts w:eastAsia="Aptos"/>
                <w:color w:val="5F6674"/>
                <w:sz w:val="18"/>
              </w:rPr>
              <w:t>To be confirmed following Governing Body approval</w:t>
            </w:r>
          </w:p>
        </w:tc>
      </w:tr>
      <w:tr w:rsidR="008A0BF7" w14:paraId="37D20E12"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20" w:type="dxa"/>
              <w:bottom w:w="90" w:type="dxa"/>
              <w:right w:w="120" w:type="dxa"/>
            </w:tcMar>
          </w:tcPr>
          <w:p w14:paraId="3DB9223D" w14:textId="77777777" w:rsidR="008A0BF7" w:rsidRDefault="00D00288">
            <w:r>
              <w:rPr>
                <w:rFonts w:eastAsia="Aptos"/>
                <w:b/>
                <w:sz w:val="18"/>
              </w:rPr>
              <w:t>Next review date</w:t>
            </w:r>
          </w:p>
        </w:tc>
        <w:tc>
          <w:tcPr>
            <w:tcW w:w="5083" w:type="dxa"/>
            <w:tcBorders>
              <w:top w:val="single" w:sz="5" w:space="0" w:color="D8DCE3"/>
              <w:left w:val="single" w:sz="5" w:space="0" w:color="D8DCE3"/>
              <w:bottom w:val="single" w:sz="5" w:space="0" w:color="D8DCE3"/>
              <w:right w:val="single" w:sz="5" w:space="0" w:color="D8DCE3"/>
            </w:tcBorders>
            <w:tcMar>
              <w:top w:w="90" w:type="dxa"/>
              <w:left w:w="120" w:type="dxa"/>
              <w:bottom w:w="90" w:type="dxa"/>
              <w:right w:w="120" w:type="dxa"/>
            </w:tcMar>
          </w:tcPr>
          <w:p w14:paraId="02635575" w14:textId="77777777" w:rsidR="008A0BF7" w:rsidRDefault="00D00288">
            <w:r>
              <w:rPr>
                <w:rFonts w:eastAsia="Aptos"/>
                <w:color w:val="5F6674"/>
                <w:sz w:val="18"/>
              </w:rPr>
              <w:t>September 2027</w:t>
            </w:r>
          </w:p>
        </w:tc>
      </w:tr>
      <w:tr w:rsidR="008A0BF7" w14:paraId="2DED047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20" w:type="dxa"/>
              <w:bottom w:w="90" w:type="dxa"/>
              <w:right w:w="120" w:type="dxa"/>
            </w:tcMar>
          </w:tcPr>
          <w:p w14:paraId="10729499" w14:textId="77777777" w:rsidR="008A0BF7" w:rsidRDefault="00D00288">
            <w:r>
              <w:rPr>
                <w:rFonts w:eastAsia="Aptos"/>
                <w:b/>
                <w:sz w:val="18"/>
              </w:rPr>
              <w:t>Review cycle</w:t>
            </w:r>
          </w:p>
        </w:tc>
        <w:tc>
          <w:tcPr>
            <w:tcW w:w="5083" w:type="dxa"/>
            <w:tcBorders>
              <w:top w:val="single" w:sz="5" w:space="0" w:color="D8DCE3"/>
              <w:left w:val="single" w:sz="5" w:space="0" w:color="D8DCE3"/>
              <w:bottom w:val="single" w:sz="5" w:space="0" w:color="D8DCE3"/>
              <w:right w:val="single" w:sz="5" w:space="0" w:color="D8DCE3"/>
            </w:tcBorders>
            <w:tcMar>
              <w:top w:w="90" w:type="dxa"/>
              <w:left w:w="120" w:type="dxa"/>
              <w:bottom w:w="90" w:type="dxa"/>
              <w:right w:w="120" w:type="dxa"/>
            </w:tcMar>
          </w:tcPr>
          <w:p w14:paraId="16BB63B6" w14:textId="77777777" w:rsidR="008A0BF7" w:rsidRDefault="00D00288">
            <w:r>
              <w:rPr>
                <w:rFonts w:eastAsia="Aptos"/>
                <w:color w:val="5F6674"/>
                <w:sz w:val="18"/>
              </w:rPr>
              <w:t>Annual and earlier as necessary</w:t>
            </w:r>
          </w:p>
        </w:tc>
      </w:tr>
      <w:tr w:rsidR="008A0BF7" w14:paraId="2F0BB474"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20" w:type="dxa"/>
              <w:bottom w:w="90" w:type="dxa"/>
              <w:right w:w="120" w:type="dxa"/>
            </w:tcMar>
          </w:tcPr>
          <w:p w14:paraId="78D0869E" w14:textId="77777777" w:rsidR="008A0BF7" w:rsidRDefault="00D00288">
            <w:r>
              <w:rPr>
                <w:rFonts w:eastAsia="Aptos"/>
                <w:b/>
                <w:sz w:val="18"/>
              </w:rPr>
              <w:t>Version</w:t>
            </w:r>
          </w:p>
        </w:tc>
        <w:tc>
          <w:tcPr>
            <w:tcW w:w="5083" w:type="dxa"/>
            <w:tcBorders>
              <w:top w:val="single" w:sz="5" w:space="0" w:color="D8DCE3"/>
              <w:left w:val="single" w:sz="5" w:space="0" w:color="D8DCE3"/>
              <w:bottom w:val="single" w:sz="5" w:space="0" w:color="D8DCE3"/>
              <w:right w:val="single" w:sz="5" w:space="0" w:color="D8DCE3"/>
            </w:tcBorders>
            <w:tcMar>
              <w:top w:w="90" w:type="dxa"/>
              <w:left w:w="120" w:type="dxa"/>
              <w:bottom w:w="90" w:type="dxa"/>
              <w:right w:w="120" w:type="dxa"/>
            </w:tcMar>
          </w:tcPr>
          <w:p w14:paraId="72C9493E" w14:textId="77777777" w:rsidR="008A0BF7" w:rsidRDefault="00D00288">
            <w:r>
              <w:rPr>
                <w:rFonts w:eastAsia="Aptos"/>
                <w:color w:val="5F6674"/>
                <w:sz w:val="18"/>
              </w:rPr>
              <w:t>1.0</w:t>
            </w:r>
          </w:p>
        </w:tc>
      </w:tr>
      <w:tr w:rsidR="008A0BF7" w14:paraId="27C3FA7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20" w:type="dxa"/>
              <w:bottom w:w="90" w:type="dxa"/>
              <w:right w:w="120" w:type="dxa"/>
            </w:tcMar>
          </w:tcPr>
          <w:p w14:paraId="6F169364" w14:textId="77777777" w:rsidR="008A0BF7" w:rsidRDefault="00D00288">
            <w:r>
              <w:rPr>
                <w:rFonts w:eastAsia="Aptos"/>
                <w:b/>
                <w:sz w:val="18"/>
              </w:rPr>
              <w:t>Policy status</w:t>
            </w:r>
          </w:p>
        </w:tc>
        <w:tc>
          <w:tcPr>
            <w:tcW w:w="5083" w:type="dxa"/>
            <w:tcBorders>
              <w:top w:val="single" w:sz="5" w:space="0" w:color="D8DCE3"/>
              <w:left w:val="single" w:sz="5" w:space="0" w:color="D8DCE3"/>
              <w:bottom w:val="single" w:sz="5" w:space="0" w:color="D8DCE3"/>
              <w:right w:val="single" w:sz="5" w:space="0" w:color="D8DCE3"/>
            </w:tcBorders>
            <w:tcMar>
              <w:top w:w="90" w:type="dxa"/>
              <w:left w:w="120" w:type="dxa"/>
              <w:bottom w:w="90" w:type="dxa"/>
              <w:right w:w="120" w:type="dxa"/>
            </w:tcMar>
          </w:tcPr>
          <w:p w14:paraId="50214795" w14:textId="77777777" w:rsidR="008A0BF7" w:rsidRDefault="00D00288">
            <w:r>
              <w:rPr>
                <w:rFonts w:eastAsia="Aptos"/>
                <w:color w:val="5F6674"/>
                <w:sz w:val="18"/>
              </w:rPr>
              <w:t>School policy – supports statutory SEND and equality duties</w:t>
            </w:r>
          </w:p>
        </w:tc>
      </w:tr>
    </w:tbl>
    <w:p w14:paraId="246C912E" w14:textId="77777777" w:rsidR="008A0BF7" w:rsidRDefault="00D00288">
      <w:pPr>
        <w:spacing w:before="120" w:after="40"/>
      </w:pPr>
      <w:r>
        <w:rPr>
          <w:rFonts w:eastAsia="Aptos"/>
          <w:b/>
          <w:sz w:val="19"/>
        </w:rPr>
        <w:t xml:space="preserve">This policy applies to: </w:t>
      </w:r>
      <w:r>
        <w:rPr>
          <w:rFonts w:eastAsia="Aptos"/>
          <w:color w:val="5F6674"/>
          <w:sz w:val="19"/>
        </w:rPr>
        <w:t>All pupils, staff and governors, with particular regard to pupils with SEN and/or disabilities</w:t>
      </w:r>
    </w:p>
    <w:p w14:paraId="740A6567" w14:textId="77777777" w:rsidR="008A0BF7" w:rsidRDefault="00D00288">
      <w:pPr>
        <w:spacing w:after="0"/>
      </w:pPr>
      <w:r>
        <w:rPr>
          <w:rFonts w:eastAsia="Aptos"/>
          <w:b/>
          <w:sz w:val="19"/>
        </w:rPr>
        <w:t xml:space="preserve">Related documents: </w:t>
      </w:r>
      <w:r>
        <w:rPr>
          <w:rFonts w:eastAsia="Aptos"/>
          <w:color w:val="5F6674"/>
          <w:sz w:val="19"/>
        </w:rPr>
        <w:t>SEN Information Report; Accessibility Plan; Equality Information and Objectives; Admissions; Behaviour; Child Protection and Safeguarding; Supporting Pupils with Medical Conditions; Complaints; Attendance; Online Safety</w:t>
      </w:r>
    </w:p>
    <w:p w14:paraId="4DE11C80" w14:textId="77777777" w:rsidR="008A0BF7" w:rsidRDefault="00D00288">
      <w:r>
        <w:br w:type="page"/>
      </w:r>
    </w:p>
    <w:p w14:paraId="500F2C8C" w14:textId="77777777" w:rsidR="008A0BF7" w:rsidRDefault="00D00288" w:rsidP="009B68B9">
      <w:pPr>
        <w:pStyle w:val="Heading1"/>
        <w:jc w:val="both"/>
      </w:pPr>
      <w:r>
        <w:lastRenderedPageBreak/>
        <w:t>Purpose</w:t>
      </w:r>
    </w:p>
    <w:p w14:paraId="712CCCB9" w14:textId="77777777" w:rsidR="008A0BF7" w:rsidRDefault="00D00288" w:rsidP="009B68B9">
      <w:pPr>
        <w:jc w:val="both"/>
      </w:pPr>
      <w:r>
        <w:t>This policy sets out Manuden Primary School's approach to identifying and meeting special educational needs and disabilities (SEND). It explains the principles, responsibilities and systems through which the school seeks to secure high-quality, inclusive education and appropriate special educational provision for pupils who need it.</w:t>
      </w:r>
    </w:p>
    <w:p w14:paraId="5EB6DB8D" w14:textId="77777777" w:rsidR="008A0BF7" w:rsidRDefault="00D00288" w:rsidP="009B68B9">
      <w:pPr>
        <w:jc w:val="both"/>
      </w:pPr>
      <w:r>
        <w:t>The school's separate SEN Information Report explains how these arrangements are implemented in practice for pupils and families and is published on the school website.</w:t>
      </w:r>
    </w:p>
    <w:p w14:paraId="2811A44A" w14:textId="77777777" w:rsidR="008A0BF7" w:rsidRDefault="00D00288" w:rsidP="009B68B9">
      <w:pPr>
        <w:pStyle w:val="Heading1"/>
        <w:jc w:val="both"/>
      </w:pPr>
      <w:r>
        <w:t>Our Commitment to Inclusion</w:t>
      </w:r>
    </w:p>
    <w:p w14:paraId="47D86C38" w14:textId="77777777" w:rsidR="008A0BF7" w:rsidRDefault="00D00288" w:rsidP="009B68B9">
      <w:pPr>
        <w:jc w:val="both"/>
      </w:pPr>
      <w:r>
        <w:t>At Manuden Primary School, we believe every child deserves to feel valued, respected and included. Our approach reflects our school values of Hard Work, Respect and Integrity and our commitment to Growing Hearts, Growing Minds and Growing Dreams.</w:t>
      </w:r>
    </w:p>
    <w:p w14:paraId="54BC892B" w14:textId="77777777" w:rsidR="008A0BF7" w:rsidRDefault="00D00288" w:rsidP="009B68B9">
      <w:pPr>
        <w:jc w:val="both"/>
      </w:pPr>
      <w:r>
        <w:t>We recognise that every child learns differently and that some pupils may require provision that is additional to or different from that ordinarily available. We maintain high expectations, seek to remove barriers to learning and participation, and use our best endeavours to secure the special educational provision a pupil needs.</w:t>
      </w:r>
    </w:p>
    <w:p w14:paraId="5FE714E1" w14:textId="77777777" w:rsidR="008A0BF7" w:rsidRDefault="00D00288" w:rsidP="009B68B9">
      <w:pPr>
        <w:jc w:val="both"/>
      </w:pPr>
      <w:r>
        <w:t>Supporting pupils with SEND is a whole-school responsibility. The Headteacher, SENCO, teachers, support staff and governors work together with pupils, parents and relevant professionals so that provision is purposeful, proportionate and reviewed for impact.</w:t>
      </w:r>
    </w:p>
    <w:p w14:paraId="3F18E8E9" w14:textId="77777777" w:rsidR="008A0BF7" w:rsidRDefault="00D00288" w:rsidP="009B68B9">
      <w:pPr>
        <w:pStyle w:val="Heading1"/>
        <w:jc w:val="both"/>
      </w:pPr>
      <w:r>
        <w:t>Legal Framework and Guidance</w:t>
      </w:r>
    </w:p>
    <w:p w14:paraId="39ABFF12" w14:textId="77777777" w:rsidR="008A0BF7" w:rsidRDefault="00D00288" w:rsidP="009B68B9">
      <w:pPr>
        <w:jc w:val="both"/>
      </w:pPr>
      <w:r>
        <w:t>This policy has regard to the following legislation and statutory guidance:</w:t>
      </w:r>
    </w:p>
    <w:p w14:paraId="166539DF" w14:textId="77777777" w:rsidR="008A0BF7" w:rsidRDefault="00D00288" w:rsidP="009B68B9">
      <w:pPr>
        <w:pStyle w:val="ListBullet"/>
        <w:jc w:val="both"/>
      </w:pPr>
      <w:r>
        <w:t>Children and Families Act 2014, Part 3;</w:t>
      </w:r>
    </w:p>
    <w:p w14:paraId="4469DBCE" w14:textId="77777777" w:rsidR="008A0BF7" w:rsidRDefault="00D00288" w:rsidP="009B68B9">
      <w:pPr>
        <w:pStyle w:val="ListBullet"/>
        <w:jc w:val="both"/>
      </w:pPr>
      <w:r>
        <w:t>Special Educational Needs and Disability Regulations 2014, as amended;</w:t>
      </w:r>
    </w:p>
    <w:p w14:paraId="2C2245BA" w14:textId="77777777" w:rsidR="008A0BF7" w:rsidRDefault="00D00288" w:rsidP="009B68B9">
      <w:pPr>
        <w:pStyle w:val="ListBullet"/>
        <w:jc w:val="both"/>
      </w:pPr>
      <w:r>
        <w:t>Special educational needs and disability code of practice: 0 to 25 years;</w:t>
      </w:r>
    </w:p>
    <w:p w14:paraId="39D9CCE2" w14:textId="77777777" w:rsidR="008A0BF7" w:rsidRDefault="00D00288" w:rsidP="009B68B9">
      <w:pPr>
        <w:pStyle w:val="ListBullet"/>
        <w:jc w:val="both"/>
      </w:pPr>
      <w:r>
        <w:t>Equality Act 2010, including the duty to make reasonable adjustments for disabled pupils and accessibility planning duties;</w:t>
      </w:r>
    </w:p>
    <w:p w14:paraId="7395CB8C" w14:textId="77777777" w:rsidR="008A0BF7" w:rsidRDefault="00D00288" w:rsidP="009B68B9">
      <w:pPr>
        <w:pStyle w:val="ListBullet"/>
        <w:jc w:val="both"/>
      </w:pPr>
      <w:r>
        <w:t>statutory guidance on supporting pupils with medical conditions at school;</w:t>
      </w:r>
    </w:p>
    <w:p w14:paraId="54AEA4B5" w14:textId="77777777" w:rsidR="008A0BF7" w:rsidRDefault="00D00288" w:rsidP="009B68B9">
      <w:pPr>
        <w:pStyle w:val="ListBullet"/>
        <w:jc w:val="both"/>
      </w:pPr>
      <w:r>
        <w:t>Keeping Children Safe in Education 2026 where SEND and safeguarding responsibilities overlap.</w:t>
      </w:r>
    </w:p>
    <w:p w14:paraId="4AF18E7E" w14:textId="77777777" w:rsidR="008A0BF7" w:rsidRDefault="00D00288" w:rsidP="009B68B9">
      <w:pPr>
        <w:jc w:val="both"/>
      </w:pPr>
      <w:r>
        <w:t>The governing body and school must have regard to the SEND Code of Practice when exercising SEND functions. The governing body, working with the Headteacher and SENCO, establishes the school’s policy and strategy for meeting the needs of pupils with SEN and disabilities.</w:t>
      </w:r>
    </w:p>
    <w:p w14:paraId="2FF45057" w14:textId="77777777" w:rsidR="008A0BF7" w:rsidRDefault="00D00288" w:rsidP="009B68B9">
      <w:pPr>
        <w:pStyle w:val="Heading1"/>
        <w:jc w:val="both"/>
      </w:pPr>
      <w:r>
        <w:t>Definitions</w:t>
      </w:r>
    </w:p>
    <w:p w14:paraId="4ABAE7E8" w14:textId="77777777" w:rsidR="008A0BF7" w:rsidRDefault="00D00288" w:rsidP="009B68B9">
      <w:pPr>
        <w:pStyle w:val="Heading2"/>
        <w:jc w:val="both"/>
      </w:pPr>
      <w:r>
        <w:t>Special educational needs</w:t>
      </w:r>
    </w:p>
    <w:p w14:paraId="7F5F8200" w14:textId="77777777" w:rsidR="008A0BF7" w:rsidRDefault="00D00288" w:rsidP="009B68B9">
      <w:pPr>
        <w:jc w:val="both"/>
      </w:pPr>
      <w:r>
        <w:t>A child has SEN where they have a learning difficulty or disability that calls for special educational provision to be made for them. For a child aged two or over, special educational provision is educational or training provision that is additional to, or different from, that made generally for others of the same age.</w:t>
      </w:r>
    </w:p>
    <w:p w14:paraId="0E0B2839" w14:textId="77777777" w:rsidR="008A0BF7" w:rsidRDefault="00D00288" w:rsidP="009B68B9">
      <w:pPr>
        <w:jc w:val="both"/>
      </w:pPr>
      <w:r>
        <w:t>A pupil does not need a formal diagnosis or an Education, Health and Care Plan (EHCP) in order to receive SEN Support. Slower progress by itself does not automatically mean that a pupil has SEN.</w:t>
      </w:r>
    </w:p>
    <w:p w14:paraId="5D12CDAD" w14:textId="77777777" w:rsidR="008A0BF7" w:rsidRDefault="00D00288" w:rsidP="009B68B9">
      <w:pPr>
        <w:pStyle w:val="Heading2"/>
        <w:jc w:val="both"/>
      </w:pPr>
      <w:r>
        <w:t>Disability</w:t>
      </w:r>
    </w:p>
    <w:p w14:paraId="35693DD0" w14:textId="77777777" w:rsidR="008A0BF7" w:rsidRDefault="00D00288" w:rsidP="009B68B9">
      <w:pPr>
        <w:jc w:val="both"/>
      </w:pPr>
      <w:r>
        <w:t>Under the Equality Act 2010, disability has a separate legal meaning. Broadly, a person is disabled if they have a physical or mental impairment that has a substantial and long-term adverse effect on their ability to carry out normal day-to-day activities.</w:t>
      </w:r>
    </w:p>
    <w:p w14:paraId="217537D8" w14:textId="77777777" w:rsidR="008A0BF7" w:rsidRDefault="00D00288" w:rsidP="009B68B9">
      <w:pPr>
        <w:jc w:val="both"/>
      </w:pPr>
      <w:r>
        <w:lastRenderedPageBreak/>
        <w:t>Some disabled pupils also have SEN, but not all do. Some pupils with SEN are not disabled. The school considers both sets of duties and makes reasonable adjustments for disabled pupils where required.</w:t>
      </w:r>
    </w:p>
    <w:p w14:paraId="28EC26CC" w14:textId="77777777" w:rsidR="008A0BF7" w:rsidRDefault="00D00288" w:rsidP="009B68B9">
      <w:pPr>
        <w:pStyle w:val="Heading1"/>
        <w:jc w:val="both"/>
      </w:pPr>
      <w:r>
        <w:t>Aims</w:t>
      </w:r>
    </w:p>
    <w:p w14:paraId="069924F9" w14:textId="77777777" w:rsidR="008A0BF7" w:rsidRDefault="00D00288" w:rsidP="009B68B9">
      <w:pPr>
        <w:pStyle w:val="ListBullet"/>
        <w:jc w:val="both"/>
      </w:pPr>
      <w:r>
        <w:t>identify emerging needs as early and accurately as possible;</w:t>
      </w:r>
    </w:p>
    <w:p w14:paraId="3C2C1529" w14:textId="77777777" w:rsidR="008A0BF7" w:rsidRDefault="00D00288" w:rsidP="009B68B9">
      <w:pPr>
        <w:pStyle w:val="ListBullet"/>
        <w:jc w:val="both"/>
      </w:pPr>
      <w:r>
        <w:t>provide high-quality inclusive teaching as the first response to need;</w:t>
      </w:r>
    </w:p>
    <w:p w14:paraId="0234A249" w14:textId="77777777" w:rsidR="008A0BF7" w:rsidRDefault="00D00288" w:rsidP="009B68B9">
      <w:pPr>
        <w:pStyle w:val="ListBullet"/>
        <w:jc w:val="both"/>
      </w:pPr>
      <w:r>
        <w:t>use the graduated approach to assess, plan, deliver and review support;</w:t>
      </w:r>
    </w:p>
    <w:p w14:paraId="38427C93" w14:textId="77777777" w:rsidR="008A0BF7" w:rsidRDefault="00D00288" w:rsidP="009B68B9">
      <w:pPr>
        <w:pStyle w:val="ListBullet"/>
        <w:jc w:val="both"/>
      </w:pPr>
      <w:r>
        <w:t>involve pupils and parents meaningfully in decisions;</w:t>
      </w:r>
    </w:p>
    <w:p w14:paraId="69B1D3C4" w14:textId="77777777" w:rsidR="008A0BF7" w:rsidRDefault="00D00288" w:rsidP="009B68B9">
      <w:pPr>
        <w:pStyle w:val="ListBullet"/>
        <w:jc w:val="both"/>
      </w:pPr>
      <w:r>
        <w:t>make reasonable adjustments and remove barriers to participation;</w:t>
      </w:r>
    </w:p>
    <w:p w14:paraId="6615F82B" w14:textId="77777777" w:rsidR="008A0BF7" w:rsidRDefault="00D00288" w:rsidP="009B68B9">
      <w:pPr>
        <w:pStyle w:val="ListBullet"/>
        <w:jc w:val="both"/>
      </w:pPr>
      <w:r>
        <w:t>work effectively with external professionals and the local authority where specialist advice or provision is required;</w:t>
      </w:r>
    </w:p>
    <w:p w14:paraId="73DE6E06" w14:textId="77777777" w:rsidR="008A0BF7" w:rsidRDefault="00D00288" w:rsidP="009B68B9">
      <w:pPr>
        <w:pStyle w:val="ListBullet"/>
        <w:jc w:val="both"/>
      </w:pPr>
      <w:r>
        <w:t>support successful transitions and preparation for the next stage of education;</w:t>
      </w:r>
    </w:p>
    <w:p w14:paraId="372FC54E" w14:textId="77777777" w:rsidR="008A0BF7" w:rsidRDefault="00D00288" w:rsidP="009B68B9">
      <w:pPr>
        <w:pStyle w:val="ListBullet"/>
        <w:jc w:val="both"/>
      </w:pPr>
      <w:r>
        <w:t>evaluate whether provision is improving access, independence, wellbeing and educational outcomes.</w:t>
      </w:r>
    </w:p>
    <w:p w14:paraId="3EB1152E" w14:textId="77777777" w:rsidR="008A0BF7" w:rsidRDefault="00D00288" w:rsidP="009B68B9">
      <w:pPr>
        <w:pStyle w:val="Heading1"/>
        <w:jc w:val="both"/>
      </w:pPr>
      <w:r>
        <w:t>Roles and Responsibilities</w:t>
      </w:r>
    </w:p>
    <w:p w14:paraId="2A86695E" w14:textId="77777777" w:rsidR="008A0BF7" w:rsidRDefault="00D00288" w:rsidP="009B68B9">
      <w:pPr>
        <w:pStyle w:val="Heading2"/>
        <w:jc w:val="both"/>
      </w:pPr>
      <w:r>
        <w:t>Governing Body</w:t>
      </w:r>
    </w:p>
    <w:p w14:paraId="018504F5" w14:textId="77777777" w:rsidR="008A0BF7" w:rsidRDefault="00D00288" w:rsidP="009B68B9">
      <w:pPr>
        <w:pStyle w:val="ListBullet"/>
        <w:jc w:val="both"/>
      </w:pPr>
      <w:r>
        <w:t>provides strategic oversight of SEND and disability duties and establishes the school’s policy and strategy with senior leaders;</w:t>
      </w:r>
    </w:p>
    <w:p w14:paraId="671BDB41" w14:textId="77777777" w:rsidR="008A0BF7" w:rsidRDefault="00D00288" w:rsidP="009B68B9">
      <w:pPr>
        <w:pStyle w:val="ListBullet"/>
        <w:jc w:val="both"/>
      </w:pPr>
      <w:r>
        <w:t>ensures a qualified teacher or the Headteacher is designated as SENCO and that the SENCO has appropriate time and support to fulfil the role;</w:t>
      </w:r>
    </w:p>
    <w:p w14:paraId="32B74BEB" w14:textId="77777777" w:rsidR="008A0BF7" w:rsidRDefault="00D00288" w:rsidP="009B68B9">
      <w:pPr>
        <w:pStyle w:val="ListBullet"/>
        <w:jc w:val="both"/>
      </w:pPr>
      <w:r>
        <w:t>ensures the statutory SEN Information Report and Accessibility Plan are published and kept under review;</w:t>
      </w:r>
    </w:p>
    <w:p w14:paraId="3CE84C9D" w14:textId="77777777" w:rsidR="008A0BF7" w:rsidRDefault="00D00288" w:rsidP="009B68B9">
      <w:pPr>
        <w:pStyle w:val="ListBullet"/>
        <w:jc w:val="both"/>
      </w:pPr>
      <w:r>
        <w:t>holds leaders to account for the quality, inclusivity and impact of SEND provision;</w:t>
      </w:r>
    </w:p>
    <w:p w14:paraId="36CFFF7F" w14:textId="77777777" w:rsidR="008A0BF7" w:rsidRDefault="00D00288" w:rsidP="009B68B9">
      <w:pPr>
        <w:pStyle w:val="ListBullet"/>
        <w:jc w:val="both"/>
      </w:pPr>
      <w:r>
        <w:t>ensures there is appropriate governor oversight of the school’s SEND arrangements.</w:t>
      </w:r>
    </w:p>
    <w:p w14:paraId="64898A85" w14:textId="77777777" w:rsidR="008A0BF7" w:rsidRDefault="00D00288" w:rsidP="009B68B9">
      <w:pPr>
        <w:pStyle w:val="Heading2"/>
        <w:jc w:val="both"/>
      </w:pPr>
      <w:r>
        <w:t>Headteacher</w:t>
      </w:r>
    </w:p>
    <w:p w14:paraId="0B93F2ED" w14:textId="77777777" w:rsidR="008A0BF7" w:rsidRDefault="00D00288" w:rsidP="009B68B9">
      <w:pPr>
        <w:pStyle w:val="ListBullet"/>
        <w:jc w:val="both"/>
      </w:pPr>
      <w:r>
        <w:t>has overall responsibility for the quality of education and inclusion across the school;</w:t>
      </w:r>
    </w:p>
    <w:p w14:paraId="45DB2312" w14:textId="77777777" w:rsidR="008A0BF7" w:rsidRDefault="00D00288" w:rsidP="009B68B9">
      <w:pPr>
        <w:pStyle w:val="ListBullet"/>
        <w:jc w:val="both"/>
      </w:pPr>
      <w:r>
        <w:t>works with the SENCO and governors to ensure statutory duties are met;</w:t>
      </w:r>
    </w:p>
    <w:p w14:paraId="02DD537E" w14:textId="77777777" w:rsidR="008A0BF7" w:rsidRDefault="00D00288" w:rsidP="009B68B9">
      <w:pPr>
        <w:pStyle w:val="ListBullet"/>
        <w:jc w:val="both"/>
      </w:pPr>
      <w:r>
        <w:t>ensures SEND is considered in curriculum, staffing, safeguarding, attendance, behaviour and school-improvement decisions;</w:t>
      </w:r>
    </w:p>
    <w:p w14:paraId="7FD8B61A" w14:textId="77777777" w:rsidR="008A0BF7" w:rsidRDefault="00D00288" w:rsidP="009B68B9">
      <w:pPr>
        <w:pStyle w:val="ListBullet"/>
        <w:jc w:val="both"/>
      </w:pPr>
      <w:r>
        <w:t>ensures resources are deployed appropriately within the school’s available funding and statutory responsibilities.</w:t>
      </w:r>
    </w:p>
    <w:p w14:paraId="37CEFF88" w14:textId="77777777" w:rsidR="008A0BF7" w:rsidRDefault="00D00288" w:rsidP="009B68B9">
      <w:pPr>
        <w:pStyle w:val="Heading2"/>
        <w:jc w:val="both"/>
      </w:pPr>
      <w:r>
        <w:t>SENCO</w:t>
      </w:r>
    </w:p>
    <w:p w14:paraId="1B2DC72C" w14:textId="77777777" w:rsidR="008A0BF7" w:rsidRDefault="00D00288" w:rsidP="009B68B9">
      <w:pPr>
        <w:pStyle w:val="ListBullet"/>
        <w:jc w:val="both"/>
      </w:pPr>
      <w:r>
        <w:t>coordinates the school’s SEN provision and graduated approach;</w:t>
      </w:r>
    </w:p>
    <w:p w14:paraId="463E9064" w14:textId="77777777" w:rsidR="008A0BF7" w:rsidRDefault="00D00288" w:rsidP="009B68B9">
      <w:pPr>
        <w:pStyle w:val="ListBullet"/>
        <w:jc w:val="both"/>
      </w:pPr>
      <w:r>
        <w:t>advises and supports teachers, leaders and support staff;</w:t>
      </w:r>
    </w:p>
    <w:p w14:paraId="69362903" w14:textId="77777777" w:rsidR="008A0BF7" w:rsidRDefault="00D00288" w:rsidP="009B68B9">
      <w:pPr>
        <w:pStyle w:val="ListBullet"/>
        <w:jc w:val="both"/>
      </w:pPr>
      <w:r>
        <w:t>liaises with parents, pupils, external professionals and the local authority;</w:t>
      </w:r>
    </w:p>
    <w:p w14:paraId="5DD04C61" w14:textId="77777777" w:rsidR="008A0BF7" w:rsidRDefault="00D00288" w:rsidP="009B68B9">
      <w:pPr>
        <w:pStyle w:val="ListBullet"/>
        <w:jc w:val="both"/>
      </w:pPr>
      <w:r>
        <w:t>supports transitions, EHC needs assessment and EHCP processes;</w:t>
      </w:r>
    </w:p>
    <w:p w14:paraId="1B0EFB7C" w14:textId="77777777" w:rsidR="008A0BF7" w:rsidRDefault="00D00288" w:rsidP="009B68B9">
      <w:pPr>
        <w:pStyle w:val="ListBullet"/>
        <w:jc w:val="both"/>
      </w:pPr>
      <w:r>
        <w:t>monitors the quality and impact of provision and contributes to staff development;</w:t>
      </w:r>
    </w:p>
    <w:p w14:paraId="28D27A26" w14:textId="77777777" w:rsidR="008A0BF7" w:rsidRDefault="00D00288" w:rsidP="009B68B9">
      <w:pPr>
        <w:pStyle w:val="ListBullet"/>
        <w:jc w:val="both"/>
      </w:pPr>
      <w:r>
        <w:t>maintains appropriate SEND records and contributes to strategic planning and the statutory SEN Information Report.</w:t>
      </w:r>
    </w:p>
    <w:p w14:paraId="2DA4BCD4" w14:textId="77777777" w:rsidR="008A0BF7" w:rsidRDefault="00D00288" w:rsidP="009B68B9">
      <w:pPr>
        <w:pStyle w:val="Heading2"/>
        <w:jc w:val="both"/>
      </w:pPr>
      <w:r>
        <w:t>Class Teachers</w:t>
      </w:r>
    </w:p>
    <w:p w14:paraId="23ECCD43" w14:textId="77777777" w:rsidR="008A0BF7" w:rsidRDefault="00D00288" w:rsidP="009B68B9">
      <w:pPr>
        <w:pStyle w:val="ListBullet"/>
        <w:jc w:val="both"/>
      </w:pPr>
      <w:r>
        <w:t>remain accountable for the progress and development of every pupil they teach, including where support is provided by a teaching assistant or specialist;</w:t>
      </w:r>
    </w:p>
    <w:p w14:paraId="4E8B3850" w14:textId="77777777" w:rsidR="008A0BF7" w:rsidRDefault="00D00288" w:rsidP="009B68B9">
      <w:pPr>
        <w:pStyle w:val="ListBullet"/>
        <w:jc w:val="both"/>
      </w:pPr>
      <w:r>
        <w:t>provide high-quality adaptive teaching and implement agreed provision and reasonable adjustments;</w:t>
      </w:r>
    </w:p>
    <w:p w14:paraId="4DFC3F03" w14:textId="77777777" w:rsidR="008A0BF7" w:rsidRDefault="00D00288" w:rsidP="009B68B9">
      <w:pPr>
        <w:pStyle w:val="ListBullet"/>
        <w:jc w:val="both"/>
      </w:pPr>
      <w:r>
        <w:t>identify emerging concerns and work with the SENCO to assess and plan support;</w:t>
      </w:r>
    </w:p>
    <w:p w14:paraId="610A29C8" w14:textId="77777777" w:rsidR="008A0BF7" w:rsidRDefault="00D00288" w:rsidP="009B68B9">
      <w:pPr>
        <w:pStyle w:val="ListBullet"/>
        <w:jc w:val="both"/>
      </w:pPr>
      <w:r>
        <w:t>involve pupils and parents in planning and review;</w:t>
      </w:r>
    </w:p>
    <w:p w14:paraId="5DF1D9BC" w14:textId="77777777" w:rsidR="008A0BF7" w:rsidRDefault="00D00288" w:rsidP="009B68B9">
      <w:pPr>
        <w:pStyle w:val="ListBullet"/>
        <w:jc w:val="both"/>
      </w:pPr>
      <w:r>
        <w:t>work effectively with teaching assistants and specialists and evaluate whether support is helping the pupil become more independent and successful.</w:t>
      </w:r>
    </w:p>
    <w:p w14:paraId="223AF9B5" w14:textId="77777777" w:rsidR="008A0BF7" w:rsidRDefault="00D00288" w:rsidP="009B68B9">
      <w:pPr>
        <w:pStyle w:val="Heading1"/>
        <w:jc w:val="both"/>
      </w:pPr>
      <w:r>
        <w:lastRenderedPageBreak/>
        <w:t>Identifying and Assessing SEN</w:t>
      </w:r>
    </w:p>
    <w:p w14:paraId="4B8A6A9F" w14:textId="77777777" w:rsidR="008A0BF7" w:rsidRDefault="00D00288" w:rsidP="009B68B9">
      <w:pPr>
        <w:jc w:val="both"/>
      </w:pPr>
      <w:r>
        <w:t>Early identification is central to our approach. Teachers monitor pupils’ learning, progress, participation and wellbeing through assessment, observation and professional judgement. Concerns may also be raised by pupils, parents, previous settings or external professionals.</w:t>
      </w:r>
    </w:p>
    <w:p w14:paraId="182935BF" w14:textId="77777777" w:rsidR="008A0BF7" w:rsidRDefault="00D00288" w:rsidP="009B68B9">
      <w:pPr>
        <w:jc w:val="both"/>
      </w:pPr>
      <w:r>
        <w:t>When a pupil is not making expected progress or is experiencing a barrier to learning, the school will gather information and consider a range of possible causes. Before identifying SEN, the school will consider factors such as gaps in prior learning, attendance, English as an additional language, health, emotional wellbeing and changes in circumstances. Difficulty related solely to learning English as an additional language is not SEN, although a pupil may have both EAL and SEN.</w:t>
      </w:r>
    </w:p>
    <w:p w14:paraId="7FFFAE02" w14:textId="77777777" w:rsidR="008A0BF7" w:rsidRDefault="00D00288" w:rsidP="009B68B9">
      <w:pPr>
        <w:jc w:val="both"/>
      </w:pPr>
      <w:r>
        <w:t>Where special educational provision is required, parents will be informed and the pupil will normally be recorded as receiving SEN Support on the school’s internal SEN register. The purpose of the register is to support effective planning and monitoring; it does not define the child or replace individual professional judgement.</w:t>
      </w:r>
    </w:p>
    <w:p w14:paraId="0EC389D3" w14:textId="77777777" w:rsidR="008A0BF7" w:rsidRDefault="00D00288" w:rsidP="009B68B9">
      <w:pPr>
        <w:pStyle w:val="Heading1"/>
        <w:jc w:val="both"/>
      </w:pPr>
      <w:r>
        <w:t>The Graduated Approach</w:t>
      </w:r>
    </w:p>
    <w:p w14:paraId="7E8B2A4E" w14:textId="77777777" w:rsidR="008A0BF7" w:rsidRDefault="00D00288" w:rsidP="009B68B9">
      <w:pPr>
        <w:pStyle w:val="ManudenProcess"/>
        <w:jc w:val="both"/>
      </w:pPr>
      <w:r>
        <w:t>ASSESS  →  PLAN  →  DO  →  REVIEW</w:t>
      </w:r>
    </w:p>
    <w:p w14:paraId="3BE2FD8E" w14:textId="77777777" w:rsidR="008A0BF7" w:rsidRDefault="00D00288" w:rsidP="009B68B9">
      <w:pPr>
        <w:pStyle w:val="Heading2"/>
        <w:jc w:val="both"/>
      </w:pPr>
      <w:r>
        <w:t>Assess</w:t>
      </w:r>
    </w:p>
    <w:p w14:paraId="0E25F6F2" w14:textId="77777777" w:rsidR="008A0BF7" w:rsidRDefault="00D00288" w:rsidP="009B68B9">
      <w:pPr>
        <w:jc w:val="both"/>
      </w:pPr>
      <w:r>
        <w:t>The class teacher and SENCO consider the pupil’s strengths, needs, progress, views and the views of parents, alongside relevant assessment and specialist advice. Assessment is proportionate to the concern and may be refined over time.</w:t>
      </w:r>
    </w:p>
    <w:p w14:paraId="617F6AE4" w14:textId="77777777" w:rsidR="008A0BF7" w:rsidRDefault="00D00288" w:rsidP="009B68B9">
      <w:pPr>
        <w:pStyle w:val="Heading2"/>
        <w:jc w:val="both"/>
      </w:pPr>
      <w:r>
        <w:t>Plan</w:t>
      </w:r>
    </w:p>
    <w:p w14:paraId="7034A9E1" w14:textId="77777777" w:rsidR="008A0BF7" w:rsidRDefault="00D00288" w:rsidP="009B68B9">
      <w:pPr>
        <w:jc w:val="both"/>
      </w:pPr>
      <w:r>
        <w:t>The teacher, SENCO, pupil and parents agree the outcomes being sought, the provision or adjustments to be made, who will deliver them and how impact will be reviewed. This may be recorded through a SEN Support Plan, One Plan or similar planning document according to need.</w:t>
      </w:r>
    </w:p>
    <w:p w14:paraId="2F662303" w14:textId="77777777" w:rsidR="008A0BF7" w:rsidRDefault="00D00288" w:rsidP="009B68B9">
      <w:pPr>
        <w:pStyle w:val="Heading2"/>
        <w:jc w:val="both"/>
      </w:pPr>
      <w:r>
        <w:t>Do</w:t>
      </w:r>
    </w:p>
    <w:p w14:paraId="7C59F0BE" w14:textId="77777777" w:rsidR="008A0BF7" w:rsidRDefault="00D00288" w:rsidP="009B68B9">
      <w:pPr>
        <w:jc w:val="both"/>
      </w:pPr>
      <w:r>
        <w:t>The class teacher remains responsible for the pupil’s day-to-day education and for working with support staff or specialists to implement the agreed provision. Additional intervention should complement, not replace, access to high-quality classroom teaching.</w:t>
      </w:r>
    </w:p>
    <w:p w14:paraId="2175B43E" w14:textId="77777777" w:rsidR="008A0BF7" w:rsidRDefault="00D00288" w:rsidP="009B68B9">
      <w:pPr>
        <w:pStyle w:val="Heading2"/>
        <w:jc w:val="both"/>
      </w:pPr>
      <w:r>
        <w:t>Review</w:t>
      </w:r>
    </w:p>
    <w:p w14:paraId="3B9074E2" w14:textId="77777777" w:rsidR="008A0BF7" w:rsidRDefault="00D00288" w:rsidP="009B68B9">
      <w:pPr>
        <w:jc w:val="both"/>
      </w:pPr>
      <w:r>
        <w:t>Progress towards agreed outcomes and the effectiveness of provision are reviewed regularly. Where an individual SEN Support plan is in place, formal reviews will normally take place at least termly. Provision may be continued, adapted, increased or reduced according to evidence of need and impact.</w:t>
      </w:r>
    </w:p>
    <w:p w14:paraId="2FE0CB15" w14:textId="77777777" w:rsidR="008A0BF7" w:rsidRDefault="00D00288" w:rsidP="009B68B9">
      <w:pPr>
        <w:jc w:val="both"/>
      </w:pPr>
      <w:r>
        <w:t>If a pupil has made sustained progress and no longer requires provision that is additional to or different from that ordinarily available, they may no longer require SEN Support. This will be discussed with parents and the pupil and monitored carefully.</w:t>
      </w:r>
    </w:p>
    <w:p w14:paraId="5DDBBB52" w14:textId="77777777" w:rsidR="008A0BF7" w:rsidRDefault="00D00288" w:rsidP="009B68B9">
      <w:pPr>
        <w:pStyle w:val="Heading1"/>
        <w:jc w:val="both"/>
      </w:pPr>
      <w:r>
        <w:t>Teaching, Provision and Reasonable Adjustments</w:t>
      </w:r>
    </w:p>
    <w:p w14:paraId="51AE18B2" w14:textId="77777777" w:rsidR="008A0BF7" w:rsidRDefault="00D00288" w:rsidP="009B68B9">
      <w:pPr>
        <w:jc w:val="both"/>
      </w:pPr>
      <w:r>
        <w:t>High-quality, inclusive teaching is the first response to pupils who have or may have SEN. Teachers adapt teaching using ongoing assessment and knowledge of the pupil while maintaining ambitious expectations.</w:t>
      </w:r>
    </w:p>
    <w:p w14:paraId="1EF651B0" w14:textId="77777777" w:rsidR="008A0BF7" w:rsidRDefault="00D00288" w:rsidP="009B68B9">
      <w:pPr>
        <w:jc w:val="both"/>
      </w:pPr>
      <w:r>
        <w:t>Depending on individual need, provision may include adaptations to teaching, resources, communication, recording methods, classroom routines, the sensory environment, assessment arrangements or the wider school day; targeted individual or small-group intervention; additional adult support that develops independence; assistive technology; and specialist advice or programmes where appropriate.</w:t>
      </w:r>
    </w:p>
    <w:p w14:paraId="6AA88B6D" w14:textId="77777777" w:rsidR="008A0BF7" w:rsidRDefault="00D00288" w:rsidP="009B68B9">
      <w:pPr>
        <w:jc w:val="both"/>
      </w:pPr>
      <w:r>
        <w:lastRenderedPageBreak/>
        <w:t>The school will make reasonable adjustments for disabled pupils where required by the Equality Act 2010. The Accessibility Plan sets out how the school plans to increase access to the curriculum, physical environment and information over time.</w:t>
      </w:r>
    </w:p>
    <w:p w14:paraId="5EF9C12B" w14:textId="77777777" w:rsidR="008A0BF7" w:rsidRDefault="00D00288" w:rsidP="009B68B9">
      <w:pPr>
        <w:pStyle w:val="Heading1"/>
        <w:jc w:val="both"/>
      </w:pPr>
      <w:r>
        <w:t>Education, Health and Care Plans</w:t>
      </w:r>
    </w:p>
    <w:p w14:paraId="2E747007" w14:textId="77777777" w:rsidR="008A0BF7" w:rsidRDefault="00D00288" w:rsidP="009B68B9">
      <w:pPr>
        <w:jc w:val="both"/>
      </w:pPr>
      <w:r>
        <w:t>Most pupils with SEN have their needs met through ordinarily available provision and SEN Support. Where, despite relevant and purposeful action, a pupil requires provision beyond what can reasonably be provided through SEN Support, the school and/or parents may consider requesting an Education, Health and Care needs assessment from the local authority.</w:t>
      </w:r>
    </w:p>
    <w:p w14:paraId="43FA9B7A" w14:textId="77777777" w:rsidR="008A0BF7" w:rsidRDefault="00D00288" w:rsidP="009B68B9">
      <w:pPr>
        <w:jc w:val="both"/>
      </w:pPr>
      <w:r>
        <w:t>Where a pupil has an EHCP, the school will use its best endeavours to secure the special educational provision specified in the plan, contribute to statutory review arrangements and work with the local authority and family where amendments or further advice are required.</w:t>
      </w:r>
    </w:p>
    <w:p w14:paraId="002B767C" w14:textId="77777777" w:rsidR="008A0BF7" w:rsidRDefault="00D00288" w:rsidP="009B68B9">
      <w:pPr>
        <w:pStyle w:val="Heading1"/>
        <w:jc w:val="both"/>
      </w:pPr>
      <w:r>
        <w:t>Working with Pupils and Parents</w:t>
      </w:r>
    </w:p>
    <w:p w14:paraId="1E6D1A63" w14:textId="77777777" w:rsidR="008A0BF7" w:rsidRDefault="00D00288" w:rsidP="009B68B9">
      <w:pPr>
        <w:jc w:val="both"/>
      </w:pPr>
      <w:r>
        <w:t>Parents and carers know their children well and are essential partners. We aim to communicate openly, listen carefully and involve families in decisions about assessment, outcomes, provision and review. Parents of pupils receiving SEN Support will normally have structured opportunities to review progress and provision at least termly where an individual plan is in place.</w:t>
      </w:r>
    </w:p>
    <w:p w14:paraId="5A9A094D" w14:textId="77777777" w:rsidR="008A0BF7" w:rsidRDefault="00D00288" w:rsidP="009B68B9">
      <w:pPr>
        <w:jc w:val="both"/>
      </w:pPr>
      <w:r>
        <w:t>Pupils will be involved in decisions about their education in a way that reflects their age, communication needs and understanding. Staff will seek pupils’ views about what helps them learn, what they find difficult, their strengths, interests, aspirations and what they would like to change.</w:t>
      </w:r>
    </w:p>
    <w:p w14:paraId="6263C62F" w14:textId="77777777" w:rsidR="008A0BF7" w:rsidRDefault="00D00288" w:rsidP="009B68B9">
      <w:pPr>
        <w:pStyle w:val="Heading1"/>
        <w:jc w:val="both"/>
      </w:pPr>
      <w:r>
        <w:t>Inclusion, Wellbeing and Safeguarding</w:t>
      </w:r>
    </w:p>
    <w:p w14:paraId="28B6D28A" w14:textId="77777777" w:rsidR="008A0BF7" w:rsidRDefault="00D00288" w:rsidP="009B68B9">
      <w:pPr>
        <w:jc w:val="both"/>
      </w:pPr>
      <w:r>
        <w:t>Pupils with SEND should be supported to participate in the full life of the school, including trips, clubs, assemblies, PE and enrichment, subject to appropriate risk assessment, reasonable adjustments and individual needs. A pupil will not be excluded from an activity simply because they have SEN or a disability where reasonable steps can enable participation.</w:t>
      </w:r>
    </w:p>
    <w:p w14:paraId="08B7CD54" w14:textId="77777777" w:rsidR="008A0BF7" w:rsidRDefault="00D00288" w:rsidP="009B68B9">
      <w:pPr>
        <w:jc w:val="both"/>
      </w:pPr>
      <w:r>
        <w:t>SEND may sometimes affect behaviour, attendance, communication or emotional regulation. Staff will seek to understand underlying need, use reasonable adjustments and provide appropriate support while maintaining clear expectations for safety and respectful behaviour.</w:t>
      </w:r>
    </w:p>
    <w:p w14:paraId="0E4CD727" w14:textId="77777777" w:rsidR="008A0BF7" w:rsidRDefault="00D00288" w:rsidP="009B68B9">
      <w:pPr>
        <w:jc w:val="both"/>
      </w:pPr>
      <w:r>
        <w:t>Some pupils with SEND can experience additional barriers to recognising, communicating or reporting harm. Safeguarding concerns will be managed under the Child Protection and Safeguarding Policy, with account taken of communication needs and vulnerabilities. SEND is not a reason to delay or dilute safeguarding action.</w:t>
      </w:r>
    </w:p>
    <w:p w14:paraId="34E69928" w14:textId="77777777" w:rsidR="008A0BF7" w:rsidRDefault="00D00288" w:rsidP="009B68B9">
      <w:pPr>
        <w:pStyle w:val="Heading1"/>
        <w:jc w:val="both"/>
      </w:pPr>
      <w:r>
        <w:t>Transition and Preparing for the Next Stage</w:t>
      </w:r>
    </w:p>
    <w:p w14:paraId="0D8E70E5" w14:textId="77777777" w:rsidR="008A0BF7" w:rsidRDefault="00D00288" w:rsidP="009B68B9">
      <w:pPr>
        <w:jc w:val="both"/>
      </w:pPr>
      <w:r>
        <w:t>Transition is planned carefully for pupils with SEND, including entry from early-years settings, movement between classes, mid-year transfers and transition to secondary school. Support may include additional visits, staff liaison, pupil and parent meetings, secure transfer of records, visual resources and involvement of external professionals where appropriate.</w:t>
      </w:r>
    </w:p>
    <w:p w14:paraId="2C8DC11B" w14:textId="77777777" w:rsidR="008A0BF7" w:rsidRDefault="00D00288" w:rsidP="009B68B9">
      <w:pPr>
        <w:pStyle w:val="Heading1"/>
        <w:jc w:val="both"/>
      </w:pPr>
      <w:r>
        <w:t>Staff Expertise and External Support</w:t>
      </w:r>
    </w:p>
    <w:p w14:paraId="55360053" w14:textId="77777777" w:rsidR="008A0BF7" w:rsidRDefault="00D00288" w:rsidP="009B68B9">
      <w:pPr>
        <w:jc w:val="both"/>
      </w:pPr>
      <w:r>
        <w:t>The SENCO and senior leaders identify staff-development priorities from pupils’ needs, monitoring and changes in statutory guidance. Staff receive training, advice or coaching appropriate to their role and the needs of pupils they support.</w:t>
      </w:r>
    </w:p>
    <w:p w14:paraId="13B74FFD" w14:textId="77777777" w:rsidR="008A0BF7" w:rsidRDefault="00D00288" w:rsidP="009B68B9">
      <w:pPr>
        <w:jc w:val="both"/>
      </w:pPr>
      <w:r>
        <w:lastRenderedPageBreak/>
        <w:t>Where specialist expertise is needed, the school may work with relevant education, health or social-care professionals and services. External advice informs school decision-making but does not remove the class teacher’s responsibility for the pupil’s day-to-day education.</w:t>
      </w:r>
    </w:p>
    <w:p w14:paraId="7A845C99" w14:textId="77777777" w:rsidR="008A0BF7" w:rsidRDefault="00D00288" w:rsidP="009B68B9">
      <w:pPr>
        <w:pStyle w:val="Heading1"/>
        <w:jc w:val="both"/>
      </w:pPr>
      <w:r>
        <w:t>Complaints and Concerns</w:t>
      </w:r>
    </w:p>
    <w:p w14:paraId="42E1428F" w14:textId="77777777" w:rsidR="008A0BF7" w:rsidRDefault="00D00288" w:rsidP="009B68B9">
      <w:pPr>
        <w:jc w:val="both"/>
      </w:pPr>
      <w:r>
        <w:t>We aim to resolve concerns about SEND provision through open discussion. Parents should normally raise a concern first with the class teacher and/or SENCO. More significant or unresolved concerns may be raised with the Headteacher.</w:t>
      </w:r>
    </w:p>
    <w:p w14:paraId="56C32DDB" w14:textId="77777777" w:rsidR="008A0BF7" w:rsidRDefault="00D00288" w:rsidP="009B68B9">
      <w:pPr>
        <w:jc w:val="both"/>
      </w:pPr>
      <w:r>
        <w:t>If a concern is not resolved, parents may use the school’s published Complaints Policy and Procedure. Complaints about the school’s provision are separate from disagreements about local-authority decisions relating to EHC needs assessments or EHCPs, for which specific mediation and tribunal routes may apply. Essex SENDIASS can provide free, confidential and impartial advice.</w:t>
      </w:r>
    </w:p>
    <w:p w14:paraId="18C31675" w14:textId="77777777" w:rsidR="008A0BF7" w:rsidRDefault="00D00288" w:rsidP="009B68B9">
      <w:pPr>
        <w:pStyle w:val="Heading1"/>
        <w:jc w:val="both"/>
      </w:pPr>
      <w:r>
        <w:t>Monitoring and Review</w:t>
      </w:r>
    </w:p>
    <w:p w14:paraId="0F414F90" w14:textId="77777777" w:rsidR="008A0BF7" w:rsidRDefault="00D00288" w:rsidP="009B68B9">
      <w:pPr>
        <w:jc w:val="both"/>
      </w:pPr>
      <w:r>
        <w:t>The SENCO and Headteacher will monitor implementation of this policy and the impact of SEND provision. The Governing Body will provide strategic oversight, support and challenge.</w:t>
      </w:r>
    </w:p>
    <w:p w14:paraId="5795FE9C" w14:textId="77777777" w:rsidR="008A0BF7" w:rsidRDefault="00D00288" w:rsidP="009B68B9">
      <w:pPr>
        <w:jc w:val="both"/>
      </w:pPr>
      <w:r>
        <w:t>This policy will normally be reviewed annually and earlier where legislation, statutory guidance, school arrangements or identified needs change. The separate SEN Information Report will be updated at least annually and during the year where published information changes.</w:t>
      </w:r>
    </w:p>
    <w:p w14:paraId="30558276" w14:textId="77777777" w:rsidR="008A0BF7" w:rsidRDefault="00D00288" w:rsidP="009B68B9">
      <w:pPr>
        <w:jc w:val="both"/>
      </w:pPr>
      <w:r>
        <w:t>Next planned review: September 2027.</w:t>
      </w:r>
    </w:p>
    <w:sectPr w:rsidR="008A0BF7" w:rsidSect="00034616">
      <w:footerReference w:type="default" r:id="rId9"/>
      <w:pgSz w:w="12240" w:h="15840"/>
      <w:pgMar w:top="893" w:right="1037" w:bottom="893" w:left="1037"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5C5C1" w14:textId="77777777" w:rsidR="00D00288" w:rsidRDefault="00D00288">
      <w:pPr>
        <w:spacing w:after="0" w:line="240" w:lineRule="auto"/>
      </w:pPr>
      <w:r>
        <w:separator/>
      </w:r>
    </w:p>
  </w:endnote>
  <w:endnote w:type="continuationSeparator" w:id="0">
    <w:p w14:paraId="0F1C6674" w14:textId="77777777" w:rsidR="00D00288" w:rsidRDefault="00D00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mforta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C5318" w14:textId="77777777" w:rsidR="008A0BF7" w:rsidRDefault="00D00288">
    <w:pPr>
      <w:pStyle w:val="Footer"/>
      <w:pBdr>
        <w:top w:val="single" w:sz="8" w:space="4" w:color="3E2B8F"/>
      </w:pBdr>
      <w:jc w:val="center"/>
    </w:pPr>
    <w:r>
      <w:rPr>
        <w:rFonts w:eastAsia="Aptos"/>
        <w:color w:val="5F6674"/>
        <w:sz w:val="15"/>
      </w:rPr>
      <w:t>MANUDEN PRIMARY SCHOOL  |  The Street, Manuden, Bishop’s Stortford, CM23 1DE  |  01279 813370</w:t>
    </w:r>
  </w:p>
  <w:p w14:paraId="02DCAD6B" w14:textId="77777777" w:rsidR="008A0BF7" w:rsidRDefault="00D00288">
    <w:pPr>
      <w:jc w:val="center"/>
    </w:pPr>
    <w:r>
      <w:rPr>
        <w:rFonts w:eastAsia="Aptos"/>
        <w:color w:val="5F6674"/>
        <w:sz w:val="15"/>
      </w:rPr>
      <w:t>www.manudenprimary.co.uk  |  office@manuden.essex.sch.uk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0CCE3E" w14:textId="77777777" w:rsidR="00D00288" w:rsidRDefault="00D00288">
      <w:pPr>
        <w:spacing w:after="0" w:line="240" w:lineRule="auto"/>
      </w:pPr>
      <w:r>
        <w:separator/>
      </w:r>
    </w:p>
  </w:footnote>
  <w:footnote w:type="continuationSeparator" w:id="0">
    <w:p w14:paraId="04C468EE" w14:textId="77777777" w:rsidR="00D00288" w:rsidRDefault="00D002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14906739">
    <w:abstractNumId w:val="8"/>
  </w:num>
  <w:num w:numId="2" w16cid:durableId="939217045">
    <w:abstractNumId w:val="6"/>
  </w:num>
  <w:num w:numId="3" w16cid:durableId="558054378">
    <w:abstractNumId w:val="5"/>
  </w:num>
  <w:num w:numId="4" w16cid:durableId="426116328">
    <w:abstractNumId w:val="4"/>
  </w:num>
  <w:num w:numId="5" w16cid:durableId="1156216473">
    <w:abstractNumId w:val="7"/>
  </w:num>
  <w:num w:numId="6" w16cid:durableId="1232813299">
    <w:abstractNumId w:val="3"/>
  </w:num>
  <w:num w:numId="7" w16cid:durableId="244153531">
    <w:abstractNumId w:val="2"/>
  </w:num>
  <w:num w:numId="8" w16cid:durableId="611670901">
    <w:abstractNumId w:val="1"/>
  </w:num>
  <w:num w:numId="9" w16cid:durableId="58048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2683E"/>
    <w:rsid w:val="008A0BF7"/>
    <w:rsid w:val="009B68B9"/>
    <w:rsid w:val="00AA1D8D"/>
    <w:rsid w:val="00AD1A83"/>
    <w:rsid w:val="00B47730"/>
    <w:rsid w:val="00CB0664"/>
    <w:rsid w:val="00D002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879E86"/>
  <w14:defaultImageDpi w14:val="300"/>
  <w15:docId w15:val="{004A852C-4560-4875-B9B8-287CEC5E5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ptos" w:hAnsi="Aptos"/>
      <w:color w:val="25324A"/>
    </w:rPr>
  </w:style>
  <w:style w:type="paragraph" w:styleId="Heading1">
    <w:name w:val="heading 1"/>
    <w:basedOn w:val="Normal"/>
    <w:next w:val="Normal"/>
    <w:link w:val="Heading1Char"/>
    <w:uiPriority w:val="9"/>
    <w:qFormat/>
    <w:rsid w:val="00FC693F"/>
    <w:pPr>
      <w:keepNext/>
      <w:keepLines/>
      <w:spacing w:before="220" w:after="80"/>
      <w:outlineLvl w:val="0"/>
    </w:pPr>
    <w:rPr>
      <w:rFonts w:asciiTheme="majorHAnsi" w:eastAsiaTheme="majorEastAsia" w:hAnsiTheme="majorHAnsi" w:cstheme="majorBidi"/>
      <w:b/>
      <w:bCs/>
      <w:color w:val="3E2B8F"/>
      <w:sz w:val="28"/>
      <w:szCs w:val="28"/>
    </w:rPr>
  </w:style>
  <w:style w:type="paragraph" w:styleId="Heading2">
    <w:name w:val="heading 2"/>
    <w:basedOn w:val="Normal"/>
    <w:next w:val="Normal"/>
    <w:link w:val="Heading2Char"/>
    <w:uiPriority w:val="9"/>
    <w:unhideWhenUsed/>
    <w:qFormat/>
    <w:rsid w:val="00FC693F"/>
    <w:pPr>
      <w:keepNext/>
      <w:keepLines/>
      <w:spacing w:before="140" w:after="40"/>
      <w:outlineLvl w:val="1"/>
    </w:pPr>
    <w:rPr>
      <w:rFonts w:asciiTheme="majorHAnsi" w:eastAsiaTheme="majorEastAsia" w:hAnsiTheme="majorHAnsi" w:cstheme="majorBidi"/>
      <w:b/>
      <w:bCs/>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50"/>
      <w:contextualSpacing/>
    </w:pPr>
    <w:rPr>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nudenProcess">
    <w:name w:val="Manuden Process"/>
    <w:pPr>
      <w:spacing w:before="80" w:after="120"/>
      <w:jc w:val="center"/>
    </w:pPr>
    <w:rPr>
      <w:rFonts w:ascii="Aptos" w:hAnsi="Aptos"/>
      <w:b/>
      <w:color w:val="3E2B8F"/>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2177</Words>
  <Characters>12414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14562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Manuden Primary School SEND Policy 2026-27</dc:title>
  <dc:subject>Manuden Primary School SEND document</dc:subject>
  <dc:creator>Manuden Primary School</dc:creator>
  <cp:keywords/>
  <dc:description>generated by python-docx</dc:description>
  <cp:lastModifiedBy>Phil Molyneux</cp:lastModifiedBy>
  <cp:revision>3</cp:revision>
  <dcterms:created xsi:type="dcterms:W3CDTF">2026-09-03T12:10:00Z</dcterms:created>
  <dcterms:modified xsi:type="dcterms:W3CDTF">2026-09-03T12:14:00Z</dcterms:modified>
  <cp:category/>
</cp:coreProperties>
</file>