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9504"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6984"/>
        <w:gridCol w:w="2520"/>
      </w:tblGrid>
      <w:tr>
        <w:tblPrEx>
          <w:shd w:val="clear" w:color="auto" w:fill="ced7e7"/>
        </w:tblPrEx>
        <w:trPr>
          <w:trHeight w:val="2273" w:hRule="atLeast"/>
        </w:trPr>
        <w:tc>
          <w:tcPr>
            <w:tcW w:type="dxa" w:w="6984"/>
            <w:tcBorders>
              <w:top w:val="nil"/>
              <w:left w:val="nil"/>
              <w:bottom w:val="nil"/>
              <w:right w:val="nil"/>
            </w:tcBorders>
            <w:shd w:val="clear" w:color="auto" w:fill="auto"/>
            <w:tcMar>
              <w:top w:type="dxa" w:w="80"/>
              <w:left w:type="dxa" w:w="80"/>
              <w:bottom w:type="dxa" w:w="80"/>
              <w:right w:type="dxa" w:w="80"/>
            </w:tcMar>
            <w:vAlign w:val="center"/>
          </w:tcPr>
          <w:p>
            <w:pPr>
              <w:pStyle w:val="Body"/>
              <w:rPr>
                <w:shd w:val="nil" w:color="auto" w:fill="auto"/>
              </w:rPr>
            </w:pPr>
            <w:r>
              <w:rPr>
                <w:rFonts w:ascii="Aptos Display" w:cs="Aptos Display" w:hAnsi="Aptos Display" w:eastAsia="Aptos Display"/>
                <w:b w:val="1"/>
                <w:bCs w:val="1"/>
                <w:outline w:val="0"/>
                <w:color w:val="3e2b8f"/>
                <w:sz w:val="46"/>
                <w:szCs w:val="46"/>
                <w:u w:color="3e2b8f"/>
                <w:shd w:val="nil" w:color="auto" w:fill="auto"/>
                <w:rtl w:val="0"/>
                <w:lang w:val="en-US"/>
                <w14:textFill>
                  <w14:solidFill>
                    <w14:srgbClr w14:val="3E2B8F"/>
                  </w14:solidFill>
                </w14:textFill>
              </w:rPr>
              <w:t>MANUDEN</w:t>
            </w:r>
            <w:r>
              <w:rPr>
                <w:rFonts w:ascii="Aptos" w:cs="Aptos" w:hAnsi="Aptos" w:eastAsia="Aptos"/>
                <w:b w:val="1"/>
                <w:bCs w:val="1"/>
                <w:outline w:val="0"/>
                <w:color w:val="f3c300"/>
                <w:sz w:val="25"/>
                <w:szCs w:val="25"/>
                <w:u w:color="f3c300"/>
                <w:shd w:val="nil" w:color="auto" w:fill="auto"/>
                <w:rtl w:val="0"/>
                <w:lang w:val="en-US"/>
                <w14:textFill>
                  <w14:solidFill>
                    <w14:srgbClr w14:val="F3C300"/>
                  </w14:solidFill>
                </w14:textFill>
              </w:rPr>
              <w:t xml:space="preserve">  PRIMARY SCHOOL</w:t>
            </w:r>
          </w:p>
          <w:p>
            <w:pPr>
              <w:pStyle w:val="Body"/>
              <w:bidi w:val="0"/>
              <w:spacing w:after="0"/>
              <w:ind w:left="0" w:right="0" w:firstLine="0"/>
              <w:jc w:val="left"/>
              <w:rPr>
                <w:rtl w:val="0"/>
              </w:rPr>
            </w:pPr>
            <w:r>
              <w:rPr>
                <w:sz w:val="19"/>
                <w:szCs w:val="19"/>
                <w:shd w:val="nil" w:color="auto" w:fill="auto"/>
                <w:rtl w:val="0"/>
                <w:lang w:val="en-US"/>
              </w:rPr>
              <w:t>A Small School with Big Ideas</w:t>
            </w:r>
          </w:p>
        </w:tc>
        <w:tc>
          <w:tcPr>
            <w:tcW w:type="dxa" w:w="2520"/>
            <w:tcBorders>
              <w:top w:val="nil"/>
              <w:left w:val="nil"/>
              <w:bottom w:val="nil"/>
              <w:right w:val="nil"/>
            </w:tcBorders>
            <w:shd w:val="clear" w:color="auto" w:fill="auto"/>
            <w:tcMar>
              <w:top w:type="dxa" w:w="80"/>
              <w:left w:type="dxa" w:w="80"/>
              <w:bottom w:type="dxa" w:w="80"/>
              <w:right w:type="dxa" w:w="80"/>
            </w:tcMar>
            <w:vAlign w:val="center"/>
          </w:tcPr>
          <w:p>
            <w:pPr>
              <w:pStyle w:val="Body"/>
              <w:jc w:val="center"/>
              <w:rPr>
                <w:shd w:val="nil" w:color="auto" w:fill="auto"/>
              </w:rPr>
            </w:pPr>
            <w:r>
              <w:rPr>
                <w:shd w:val="nil" w:color="auto" w:fill="auto"/>
                <w:lang w:val="en-US"/>
              </w:rPr>
              <w:drawing xmlns:a="http://schemas.openxmlformats.org/drawingml/2006/main">
                <wp:inline distT="0" distB="0" distL="0" distR="0">
                  <wp:extent cx="1115568" cy="1208768"/>
                  <wp:effectExtent l="0" t="0" r="0" b="0"/>
                  <wp:docPr id="1073741825" name="officeArt object" descr="Manuden Primary School logo"/>
                  <wp:cNvGraphicFramePr/>
                  <a:graphic xmlns:a="http://schemas.openxmlformats.org/drawingml/2006/main">
                    <a:graphicData uri="http://schemas.openxmlformats.org/drawingml/2006/picture">
                      <pic:pic xmlns:pic="http://schemas.openxmlformats.org/drawingml/2006/picture">
                        <pic:nvPicPr>
                          <pic:cNvPr id="1073741825" name="Manuden Primary School logo" descr="Manuden Primary School logo"/>
                          <pic:cNvPicPr>
                            <a:picLocks noChangeAspect="1"/>
                          </pic:cNvPicPr>
                        </pic:nvPicPr>
                        <pic:blipFill>
                          <a:blip r:embed="rId4">
                            <a:extLst/>
                          </a:blip>
                          <a:stretch>
                            <a:fillRect/>
                          </a:stretch>
                        </pic:blipFill>
                        <pic:spPr>
                          <a:xfrm>
                            <a:off x="0" y="0"/>
                            <a:ext cx="1115568" cy="1208768"/>
                          </a:xfrm>
                          <a:prstGeom prst="rect">
                            <a:avLst/>
                          </a:prstGeom>
                          <a:ln w="12700" cap="flat">
                            <a:noFill/>
                            <a:miter lim="400000"/>
                          </a:ln>
                          <a:effectLst/>
                        </pic:spPr>
                      </pic:pic>
                    </a:graphicData>
                  </a:graphic>
                </wp:inline>
              </w:drawing>
            </w:r>
          </w:p>
          <w:p>
            <w:pPr>
              <w:pStyle w:val="Body"/>
              <w:bidi w:val="0"/>
              <w:spacing w:after="0"/>
              <w:ind w:left="0" w:right="0" w:firstLine="0"/>
              <w:jc w:val="center"/>
              <w:rPr>
                <w:rtl w:val="0"/>
              </w:rPr>
            </w:pPr>
            <w:r>
              <w:rPr>
                <w:rFonts w:ascii="Aptos" w:cs="Aptos" w:hAnsi="Aptos" w:eastAsia="Aptos"/>
                <w:b w:val="1"/>
                <w:bCs w:val="1"/>
                <w:outline w:val="0"/>
                <w:color w:val="3e2b8f"/>
                <w:sz w:val="16"/>
                <w:szCs w:val="16"/>
                <w:u w:color="3e2b8f"/>
                <w:shd w:val="nil" w:color="auto" w:fill="auto"/>
                <w:rtl w:val="0"/>
                <w:lang w:val="en-US"/>
                <w14:textFill>
                  <w14:solidFill>
                    <w14:srgbClr w14:val="3E2B8F"/>
                  </w14:solidFill>
                </w14:textFill>
              </w:rPr>
              <w:t>POLICY DOCUMENT</w:t>
            </w:r>
          </w:p>
        </w:tc>
      </w:tr>
    </w:tbl>
    <w:p>
      <w:pPr>
        <w:pStyle w:val="Body"/>
        <w:widowControl w:val="0"/>
        <w:spacing w:line="240" w:lineRule="auto"/>
        <w:jc w:val="center"/>
      </w:pPr>
    </w:p>
    <w:p>
      <w:pPr>
        <w:pStyle w:val="Body"/>
        <w:pBdr>
          <w:top w:val="nil"/>
          <w:left w:val="nil"/>
          <w:bottom w:val="single" w:color="f3c300" w:sz="24" w:space="0" w:shadow="0" w:frame="0"/>
          <w:right w:val="nil"/>
        </w:pBdr>
        <w:spacing w:before="60" w:after="280"/>
      </w:pPr>
    </w:p>
    <w:p>
      <w:pPr>
        <w:pStyle w:val="Body"/>
        <w:keepNext w:val="1"/>
        <w:spacing w:after="40"/>
        <w:jc w:val="center"/>
      </w:pPr>
      <w:r>
        <w:rPr>
          <w:rFonts w:ascii="Aptos Display" w:cs="Aptos Display" w:hAnsi="Aptos Display" w:eastAsia="Aptos Display"/>
          <w:b w:val="1"/>
          <w:bCs w:val="1"/>
          <w:outline w:val="0"/>
          <w:color w:val="3e2b8f"/>
          <w:sz w:val="48"/>
          <w:szCs w:val="48"/>
          <w:u w:color="3e2b8f"/>
          <w:rtl w:val="0"/>
          <w:lang w:val="de-DE"/>
          <w14:textFill>
            <w14:solidFill>
              <w14:srgbClr w14:val="3E2B8F"/>
            </w14:solidFill>
          </w14:textFill>
        </w:rPr>
        <w:t>SCHOOL UNIFORM POLICY</w:t>
      </w:r>
    </w:p>
    <w:p>
      <w:pPr>
        <w:pStyle w:val="Body"/>
        <w:keepNext w:val="1"/>
        <w:spacing w:after="40"/>
        <w:jc w:val="center"/>
      </w:pPr>
      <w:r>
        <w:rPr>
          <w:rFonts w:ascii="Aptos Display" w:cs="Aptos Display" w:hAnsi="Aptos Display" w:eastAsia="Aptos Display"/>
          <w:b w:val="1"/>
          <w:bCs w:val="1"/>
          <w:outline w:val="0"/>
          <w:color w:val="25324a"/>
          <w:sz w:val="26"/>
          <w:szCs w:val="26"/>
          <w:u w:color="25324a"/>
          <w:rtl w:val="0"/>
          <w14:textFill>
            <w14:solidFill>
              <w14:srgbClr w14:val="25324A"/>
            </w14:solidFill>
          </w14:textFill>
        </w:rPr>
        <w:t>2026</w:t>
      </w:r>
      <w:r>
        <w:rPr>
          <w:rFonts w:ascii="Aptos Display" w:cs="Aptos Display" w:hAnsi="Aptos Display" w:eastAsia="Aptos Display"/>
          <w:b w:val="1"/>
          <w:bCs w:val="1"/>
          <w:outline w:val="0"/>
          <w:color w:val="25324a"/>
          <w:sz w:val="26"/>
          <w:szCs w:val="26"/>
          <w:u w:color="25324a"/>
          <w:rtl w:val="0"/>
          <w:lang w:val="en-US"/>
          <w14:textFill>
            <w14:solidFill>
              <w14:srgbClr w14:val="25324A"/>
            </w14:solidFill>
          </w14:textFill>
        </w:rPr>
        <w:t>–</w:t>
      </w:r>
      <w:r>
        <w:rPr>
          <w:rFonts w:ascii="Aptos Display" w:cs="Aptos Display" w:hAnsi="Aptos Display" w:eastAsia="Aptos Display"/>
          <w:b w:val="1"/>
          <w:bCs w:val="1"/>
          <w:outline w:val="0"/>
          <w:color w:val="25324a"/>
          <w:sz w:val="26"/>
          <w:szCs w:val="26"/>
          <w:u w:color="25324a"/>
          <w:rtl w:val="0"/>
          <w14:textFill>
            <w14:solidFill>
              <w14:srgbClr w14:val="25324A"/>
            </w14:solidFill>
          </w14:textFill>
        </w:rPr>
        <w:t>27</w:t>
      </w:r>
    </w:p>
    <w:p>
      <w:pPr>
        <w:pStyle w:val="Body"/>
        <w:keepNext w:val="1"/>
        <w:spacing w:after="40"/>
        <w:jc w:val="center"/>
      </w:pPr>
      <w:r>
        <w:rPr>
          <w:rFonts w:ascii="Aptos Display" w:cs="Aptos Display" w:hAnsi="Aptos Display" w:eastAsia="Aptos Display"/>
          <w:outline w:val="0"/>
          <w:color w:val="25324a"/>
          <w:u w:color="25324a"/>
          <w:rtl w:val="0"/>
          <w:lang w:val="en-US"/>
          <w14:textFill>
            <w14:solidFill>
              <w14:srgbClr w14:val="25324A"/>
            </w14:solidFill>
          </w14:textFill>
        </w:rPr>
        <w:t xml:space="preserve">Growing Hearts  </w:t>
      </w:r>
      <w:r>
        <w:rPr>
          <w:rFonts w:ascii="Aptos Display" w:cs="Aptos Display" w:hAnsi="Aptos Display" w:eastAsia="Aptos Display"/>
          <w:outline w:val="0"/>
          <w:color w:val="25324a"/>
          <w:u w:color="25324a"/>
          <w:rtl w:val="0"/>
          <w:lang w:val="en-US"/>
          <w14:textFill>
            <w14:solidFill>
              <w14:srgbClr w14:val="25324A"/>
            </w14:solidFill>
          </w14:textFill>
        </w:rPr>
        <w:t xml:space="preserve">•  </w:t>
      </w:r>
      <w:r>
        <w:rPr>
          <w:rFonts w:ascii="Aptos Display" w:cs="Aptos Display" w:hAnsi="Aptos Display" w:eastAsia="Aptos Display"/>
          <w:outline w:val="0"/>
          <w:color w:val="25324a"/>
          <w:u w:color="25324a"/>
          <w:rtl w:val="0"/>
          <w:lang w:val="en-US"/>
          <w14:textFill>
            <w14:solidFill>
              <w14:srgbClr w14:val="25324A"/>
            </w14:solidFill>
          </w14:textFill>
        </w:rPr>
        <w:t xml:space="preserve">Growing Minds  </w:t>
      </w:r>
      <w:r>
        <w:rPr>
          <w:rFonts w:ascii="Aptos Display" w:cs="Aptos Display" w:hAnsi="Aptos Display" w:eastAsia="Aptos Display"/>
          <w:outline w:val="0"/>
          <w:color w:val="25324a"/>
          <w:u w:color="25324a"/>
          <w:rtl w:val="0"/>
          <w:lang w:val="en-US"/>
          <w14:textFill>
            <w14:solidFill>
              <w14:srgbClr w14:val="25324A"/>
            </w14:solidFill>
          </w14:textFill>
        </w:rPr>
        <w:t xml:space="preserve">•  </w:t>
      </w:r>
      <w:r>
        <w:rPr>
          <w:rFonts w:ascii="Aptos Display" w:cs="Aptos Display" w:hAnsi="Aptos Display" w:eastAsia="Aptos Display"/>
          <w:outline w:val="0"/>
          <w:color w:val="25324a"/>
          <w:u w:color="25324a"/>
          <w:rtl w:val="0"/>
          <w:lang w:val="en-US"/>
          <w14:textFill>
            <w14:solidFill>
              <w14:srgbClr w14:val="25324A"/>
            </w14:solidFill>
          </w14:textFill>
        </w:rPr>
        <w:t>Growing Dreams</w:t>
      </w:r>
    </w:p>
    <w:tbl>
      <w:tblPr>
        <w:tblW w:w="9417"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139"/>
        <w:gridCol w:w="3139"/>
        <w:gridCol w:w="3139"/>
      </w:tblGrid>
      <w:tr>
        <w:tblPrEx>
          <w:shd w:val="clear" w:color="auto" w:fill="ced7e7"/>
        </w:tblPrEx>
        <w:trPr>
          <w:trHeight w:val="80" w:hRule="atLeast"/>
        </w:trPr>
        <w:tc>
          <w:tcPr>
            <w:tcW w:type="dxa" w:w="3139"/>
            <w:tcBorders>
              <w:top w:val="nil"/>
              <w:left w:val="nil"/>
              <w:bottom w:val="nil"/>
              <w:right w:val="nil"/>
            </w:tcBorders>
            <w:shd w:val="clear" w:color="auto" w:fill="3e2b8f"/>
            <w:tcMar>
              <w:top w:type="dxa" w:w="80"/>
              <w:left w:type="dxa" w:w="80"/>
              <w:bottom w:type="dxa" w:w="80"/>
              <w:right w:type="dxa" w:w="80"/>
            </w:tcMar>
            <w:vAlign w:val="top"/>
          </w:tcPr>
          <w:p>
            <w:pPr>
              <w:pStyle w:val="Body"/>
              <w:spacing w:after="0"/>
            </w:pPr>
            <w:r>
              <w:rPr>
                <w:sz w:val="4"/>
                <w:szCs w:val="4"/>
                <w:shd w:val="nil" w:color="auto" w:fill="auto"/>
                <w:rtl w:val="0"/>
                <w:lang w:val="en-US"/>
              </w:rPr>
              <w:t xml:space="preserve"> </w:t>
            </w:r>
          </w:p>
        </w:tc>
        <w:tc>
          <w:tcPr>
            <w:tcW w:type="dxa" w:w="3139"/>
            <w:tcBorders>
              <w:top w:val="nil"/>
              <w:left w:val="nil"/>
              <w:bottom w:val="nil"/>
              <w:right w:val="nil"/>
            </w:tcBorders>
            <w:shd w:val="clear" w:color="auto" w:fill="f3c300"/>
            <w:tcMar>
              <w:top w:type="dxa" w:w="80"/>
              <w:left w:type="dxa" w:w="80"/>
              <w:bottom w:type="dxa" w:w="80"/>
              <w:right w:type="dxa" w:w="80"/>
            </w:tcMar>
            <w:vAlign w:val="top"/>
          </w:tcPr>
          <w:p>
            <w:pPr>
              <w:pStyle w:val="Body"/>
              <w:spacing w:after="0"/>
            </w:pPr>
            <w:r>
              <w:rPr>
                <w:sz w:val="4"/>
                <w:szCs w:val="4"/>
                <w:shd w:val="nil" w:color="auto" w:fill="auto"/>
                <w:rtl w:val="0"/>
                <w:lang w:val="en-US"/>
              </w:rPr>
              <w:t xml:space="preserve"> </w:t>
            </w:r>
          </w:p>
        </w:tc>
        <w:tc>
          <w:tcPr>
            <w:tcW w:type="dxa" w:w="3139"/>
            <w:tcBorders>
              <w:top w:val="nil"/>
              <w:left w:val="nil"/>
              <w:bottom w:val="nil"/>
              <w:right w:val="nil"/>
            </w:tcBorders>
            <w:shd w:val="clear" w:color="auto" w:fill="3e2b8f"/>
            <w:tcMar>
              <w:top w:type="dxa" w:w="80"/>
              <w:left w:type="dxa" w:w="80"/>
              <w:bottom w:type="dxa" w:w="80"/>
              <w:right w:type="dxa" w:w="80"/>
            </w:tcMar>
            <w:vAlign w:val="top"/>
          </w:tcPr>
          <w:p>
            <w:pPr>
              <w:pStyle w:val="Body"/>
              <w:spacing w:after="0"/>
            </w:pPr>
            <w:r>
              <w:rPr>
                <w:sz w:val="4"/>
                <w:szCs w:val="4"/>
                <w:shd w:val="nil" w:color="auto" w:fill="auto"/>
                <w:rtl w:val="0"/>
                <w:lang w:val="en-US"/>
              </w:rPr>
              <w:t xml:space="preserve"> </w:t>
            </w:r>
          </w:p>
        </w:tc>
      </w:tr>
    </w:tbl>
    <w:p>
      <w:pPr>
        <w:pStyle w:val="Body"/>
        <w:keepNext w:val="1"/>
        <w:widowControl w:val="0"/>
        <w:spacing w:after="40" w:line="240" w:lineRule="auto"/>
        <w:jc w:val="center"/>
      </w:pPr>
    </w:p>
    <w:p>
      <w:pPr>
        <w:pStyle w:val="Body"/>
        <w:keepNext w:val="1"/>
        <w:pBdr>
          <w:top w:val="nil"/>
          <w:left w:val="nil"/>
          <w:bottom w:val="single" w:color="3e2b8f" w:sz="8" w:space="0" w:shadow="0" w:frame="0"/>
          <w:right w:val="nil"/>
        </w:pBdr>
        <w:spacing w:after="40"/>
        <w:jc w:val="center"/>
      </w:pPr>
      <w:r>
        <w:rPr>
          <w:rFonts w:ascii="Aptos Display" w:cs="Aptos Display" w:hAnsi="Aptos Display" w:eastAsia="Aptos Display"/>
          <w:b w:val="1"/>
          <w:bCs w:val="1"/>
          <w:outline w:val="0"/>
          <w:color w:val="25324a"/>
          <w:sz w:val="22"/>
          <w:szCs w:val="22"/>
          <w:u w:color="25324a"/>
          <w:rtl w:val="0"/>
          <w:lang w:val="en-US"/>
          <w14:textFill>
            <w14:solidFill>
              <w14:srgbClr w14:val="25324A"/>
            </w14:solidFill>
          </w14:textFill>
        </w:rPr>
        <w:t>POLICY INFORMATION</w:t>
      </w:r>
    </w:p>
    <w:tbl>
      <w:tblPr>
        <w:tblW w:w="936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952"/>
        <w:gridCol w:w="6408"/>
      </w:tblGrid>
      <w:tr>
        <w:tblPrEx>
          <w:shd w:val="clear" w:color="auto" w:fill="ced7e7"/>
        </w:tblPrEx>
        <w:trPr>
          <w:trHeight w:val="27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hd w:val="nil" w:color="auto" w:fill="auto"/>
                <w:rtl w:val="0"/>
                <w:lang w:val="en-US"/>
              </w:rPr>
              <w:t>Policy owner / lead</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 xml:space="preserve">Phil Molyneux </w:t>
            </w:r>
            <w:r>
              <w:rPr>
                <w:shd w:val="nil" w:color="auto" w:fill="auto"/>
                <w:rtl w:val="0"/>
                <w:lang w:val="en-US"/>
              </w:rPr>
              <w:t xml:space="preserve">– </w:t>
            </w:r>
            <w:r>
              <w:rPr>
                <w:shd w:val="nil" w:color="auto" w:fill="auto"/>
                <w:rtl w:val="0"/>
                <w:lang w:val="en-US"/>
              </w:rPr>
              <w:t>Headteacher</w:t>
            </w:r>
          </w:p>
        </w:tc>
      </w:tr>
      <w:tr>
        <w:tblPrEx>
          <w:shd w:val="clear" w:color="auto" w:fill="ced7e7"/>
        </w:tblPrEx>
        <w:trPr>
          <w:trHeight w:val="27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hd w:val="nil" w:color="auto" w:fill="auto"/>
                <w:rtl w:val="0"/>
                <w:lang w:val="en-US"/>
              </w:rPr>
              <w:t>Approved by</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Headteacher for publication; formal Governing Body ratification pending</w:t>
            </w:r>
          </w:p>
        </w:tc>
      </w:tr>
      <w:tr>
        <w:tblPrEx>
          <w:shd w:val="clear" w:color="auto" w:fill="ced7e7"/>
        </w:tblPrEx>
        <w:trPr>
          <w:trHeight w:val="27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hd w:val="nil" w:color="auto" w:fill="auto"/>
                <w:rtl w:val="0"/>
                <w:lang w:val="en-US"/>
              </w:rPr>
              <w:t>Approval / adoption date</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September 2026</w:t>
            </w:r>
          </w:p>
        </w:tc>
      </w:tr>
      <w:tr>
        <w:tblPrEx>
          <w:shd w:val="clear" w:color="auto" w:fill="ced7e7"/>
        </w:tblPrEx>
        <w:trPr>
          <w:trHeight w:val="27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hd w:val="nil" w:color="auto" w:fill="auto"/>
                <w:rtl w:val="0"/>
                <w:lang w:val="en-US"/>
              </w:rPr>
              <w:t>Next review date</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September 2027, or earlier if statutory guidance changes</w:t>
            </w:r>
          </w:p>
        </w:tc>
      </w:tr>
      <w:tr>
        <w:tblPrEx>
          <w:shd w:val="clear" w:color="auto" w:fill="ced7e7"/>
        </w:tblPrEx>
        <w:trPr>
          <w:trHeight w:val="27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hd w:val="nil" w:color="auto" w:fill="auto"/>
                <w:rtl w:val="0"/>
                <w:lang w:val="en-US"/>
              </w:rPr>
              <w:t>Review cycle</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Annual and earlier following significant statutory or school-level change</w:t>
            </w:r>
          </w:p>
        </w:tc>
      </w:tr>
      <w:tr>
        <w:tblPrEx>
          <w:shd w:val="clear" w:color="auto" w:fill="ced7e7"/>
        </w:tblPrEx>
        <w:trPr>
          <w:trHeight w:val="27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hd w:val="nil" w:color="auto" w:fill="auto"/>
                <w:rtl w:val="0"/>
                <w:lang w:val="en-US"/>
              </w:rPr>
              <w:t>Version</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1.0</w:t>
            </w:r>
          </w:p>
        </w:tc>
      </w:tr>
      <w:tr>
        <w:tblPrEx>
          <w:shd w:val="clear" w:color="auto" w:fill="ced7e7"/>
        </w:tblPrEx>
        <w:trPr>
          <w:trHeight w:val="553" w:hRule="atLeast"/>
        </w:trPr>
        <w:tc>
          <w:tcPr>
            <w:tcW w:type="dxa" w:w="2952"/>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f4f5f7"/>
            <w:tcMar>
              <w:top w:type="dxa" w:w="80"/>
              <w:left w:type="dxa" w:w="80"/>
              <w:bottom w:type="dxa" w:w="80"/>
              <w:right w:type="dxa" w:w="80"/>
            </w:tcMar>
            <w:vAlign w:val="top"/>
          </w:tcPr>
          <w:p>
            <w:pPr>
              <w:pStyle w:val="Body"/>
            </w:pPr>
            <w:r>
              <w:rPr>
                <w:shd w:val="nil" w:color="auto" w:fill="auto"/>
                <w:rtl w:val="0"/>
                <w:lang w:val="en-US"/>
              </w:rPr>
              <w:t>Policy status</w:t>
            </w:r>
          </w:p>
        </w:tc>
        <w:tc>
          <w:tcPr>
            <w:tcW w:type="dxa" w:w="6408"/>
            <w:tcBorders>
              <w:top w:val="single" w:color="d8dce3" w:sz="5" w:space="0" w:shadow="0" w:frame="0"/>
              <w:left w:val="single" w:color="d8dce3" w:sz="5" w:space="0" w:shadow="0" w:frame="0"/>
              <w:bottom w:val="single" w:color="d8dce3" w:sz="5" w:space="0" w:shadow="0" w:frame="0"/>
              <w:right w:val="single" w:color="d8dce3" w:sz="5"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Published and in force from September 2026; formal Governing Body ratification pending</w:t>
            </w:r>
          </w:p>
        </w:tc>
      </w:tr>
    </w:tbl>
    <w:p>
      <w:pPr>
        <w:pStyle w:val="Body"/>
        <w:keepNext w:val="1"/>
        <w:widowControl w:val="0"/>
        <w:spacing w:after="40" w:line="240" w:lineRule="auto"/>
        <w:jc w:val="center"/>
      </w:pPr>
    </w:p>
    <w:p>
      <w:pPr>
        <w:pStyle w:val="Body"/>
        <w:spacing w:before="180" w:after="60"/>
      </w:pPr>
      <w:r>
        <w:rPr>
          <w:rFonts w:ascii="Aptos" w:cs="Aptos" w:hAnsi="Aptos" w:eastAsia="Aptos"/>
          <w:b w:val="1"/>
          <w:bCs w:val="1"/>
          <w:rtl w:val="0"/>
          <w:lang w:val="en-US"/>
        </w:rPr>
        <w:t>This policy applies to:</w:t>
      </w:r>
      <w:r>
        <w:rPr>
          <w:rtl w:val="0"/>
          <w:lang w:val="en-US"/>
        </w:rPr>
        <w:t xml:space="preserve"> all pupils, parents and carers, staff and governors of Manuden Primary School.</w:t>
      </w:r>
    </w:p>
    <w:p>
      <w:pPr>
        <w:pStyle w:val="Body"/>
        <w:spacing w:after="0"/>
      </w:pPr>
      <w:r>
        <w:rPr>
          <w:rFonts w:ascii="Aptos" w:cs="Aptos" w:hAnsi="Aptos" w:eastAsia="Aptos"/>
          <w:b w:val="1"/>
          <w:bCs w:val="1"/>
          <w:rtl w:val="0"/>
          <w:lang w:val="en-US"/>
        </w:rPr>
        <w:t>Related documents:</w:t>
      </w:r>
      <w:r>
        <w:rPr>
          <w:rtl w:val="0"/>
          <w:lang w:val="en-US"/>
        </w:rPr>
        <w:t xml:space="preserve"> Behaviour Policy; Equality Information and Objectives; SEND Policy and SEN Information Report; Health and Safety Policy; Uniform Information page on the school website.</w:t>
      </w:r>
    </w:p>
    <w:p>
      <w:pPr>
        <w:pStyle w:val="Body"/>
      </w:pPr>
    </w:p>
    <w:p>
      <w:pPr>
        <w:pStyle w:val="Heading"/>
      </w:pPr>
      <w:r>
        <w:rPr>
          <w:rtl w:val="0"/>
          <w:lang w:val="en-US"/>
        </w:rPr>
        <w:t>1. Purpose and aims</w:t>
      </w:r>
    </w:p>
    <w:p>
      <w:pPr>
        <w:pStyle w:val="Body"/>
      </w:pPr>
      <w:r>
        <w:rPr>
          <w:rtl w:val="0"/>
          <w:lang w:val="en-US"/>
        </w:rPr>
        <w:t>Manuden Primary School believes that a simple, practical and affordable uniform helps children feel part of the school community, supports equality and belonging, and contributes to a calm and purposeful learning environment. The school aims to ensure that uniform requirements are clear, inclusive, safe and proportionate, and that cost is never an unnecessary barrier to participation in school life.</w:t>
      </w:r>
    </w:p>
    <w:p>
      <w:pPr>
        <w:pStyle w:val="Heading"/>
      </w:pPr>
      <w:r>
        <w:rPr>
          <w:rtl w:val="0"/>
          <w:lang w:val="en-US"/>
        </w:rPr>
        <w:t>2. Legal and statutory context</w:t>
      </w:r>
    </w:p>
    <w:p>
      <w:pPr>
        <w:pStyle w:val="Body"/>
      </w:pPr>
      <w:r>
        <w:rPr>
          <w:rtl w:val="0"/>
          <w:lang w:val="en-US"/>
        </w:rPr>
        <w:t>The Governing Body is responsible for decisions about school uniform and appearance. In setting and implementing this policy, the school and Governing Body have regard to the Education Act 1996 (as amended by the Children</w:t>
      </w:r>
      <w:r>
        <w:rPr>
          <w:rtl w:val="1"/>
        </w:rPr>
        <w:t>’</w:t>
      </w:r>
      <w:r>
        <w:rPr>
          <w:rtl w:val="0"/>
          <w:lang w:val="en-US"/>
        </w:rPr>
        <w:t>s Wellbeing and Schools Act 2026), the Department for Education statutory guidance on the cost of school uniforms, the Equality Act 2010 and the Human Rights Act 1998.</w:t>
      </w:r>
    </w:p>
    <w:p>
      <w:pPr>
        <w:pStyle w:val="Body"/>
      </w:pPr>
      <w:r>
        <w:rPr>
          <w:rtl w:val="0"/>
          <w:lang w:val="en-US"/>
        </w:rPr>
        <w:t>From 1 September 2026, primary schools must not require pupils to have more than three different compulsory branded items of uniform or PE kit during the school year. This is a maximum, not a requirement to have three branded items. Manuden deliberately keeps its compulsory branded requirements below this limit wherever practicable.</w:t>
      </w:r>
    </w:p>
    <w:p>
      <w:pPr>
        <w:pStyle w:val="Heading"/>
      </w:pPr>
      <w:r>
        <w:rPr>
          <w:rtl w:val="0"/>
          <w:lang w:val="en-US"/>
        </w:rPr>
        <w:t>3. Compulsory branded items</w:t>
      </w:r>
    </w:p>
    <w:p>
      <w:pPr>
        <w:pStyle w:val="Body"/>
      </w:pPr>
      <w:r>
        <w:rPr>
          <w:rtl w:val="0"/>
          <w:lang w:val="en-US"/>
        </w:rPr>
        <w:t>For the purposes of this policy, a branded item is an item with the school name, logo or another distinctive feature that makes it unique to Manuden, or an item that can only reasonably be purchased from the school</w:t>
      </w:r>
      <w:r>
        <w:rPr>
          <w:rtl w:val="1"/>
        </w:rPr>
        <w:t>’</w:t>
      </w:r>
      <w:r>
        <w:rPr>
          <w:rtl w:val="0"/>
          <w:lang w:val="en-US"/>
        </w:rPr>
        <w:t>s appointed supplier.</w:t>
      </w:r>
    </w:p>
    <w:tbl>
      <w:tblPr>
        <w:tblW w:w="10224"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408"/>
        <w:gridCol w:w="3408"/>
        <w:gridCol w:w="3408"/>
      </w:tblGrid>
      <w:tr>
        <w:tblPrEx>
          <w:shd w:val="clear" w:color="auto" w:fill="4f81bd"/>
        </w:tblPrEx>
        <w:trPr>
          <w:trHeight w:val="270" w:hRule="atLeast"/>
          <w:tblHeader/>
        </w:trPr>
        <w:tc>
          <w:tcPr>
            <w:tcW w:type="dxa" w:w="34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8fb"/>
            <w:tcMar>
              <w:top w:type="dxa" w:w="80"/>
              <w:left w:type="dxa" w:w="80"/>
              <w:bottom w:type="dxa" w:w="80"/>
              <w:right w:type="dxa" w:w="80"/>
            </w:tcMar>
            <w:vAlign w:val="top"/>
          </w:tcPr>
          <w:p>
            <w:pPr>
              <w:pStyle w:val="Body"/>
            </w:pPr>
            <w:r>
              <w:rPr>
                <w:rFonts w:ascii="Aptos" w:cs="Aptos" w:hAnsi="Aptos" w:eastAsia="Aptos"/>
                <w:b w:val="1"/>
                <w:bCs w:val="1"/>
                <w:shd w:val="nil" w:color="auto" w:fill="auto"/>
                <w:rtl w:val="0"/>
                <w:lang w:val="en-US"/>
              </w:rPr>
              <w:t>Item</w:t>
            </w:r>
          </w:p>
        </w:tc>
        <w:tc>
          <w:tcPr>
            <w:tcW w:type="dxa" w:w="34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8fb"/>
            <w:tcMar>
              <w:top w:type="dxa" w:w="80"/>
              <w:left w:type="dxa" w:w="80"/>
              <w:bottom w:type="dxa" w:w="80"/>
              <w:right w:type="dxa" w:w="80"/>
            </w:tcMar>
            <w:vAlign w:val="top"/>
          </w:tcPr>
          <w:p>
            <w:pPr>
              <w:pStyle w:val="Body"/>
            </w:pPr>
            <w:r>
              <w:rPr>
                <w:rFonts w:ascii="Aptos" w:cs="Aptos" w:hAnsi="Aptos" w:eastAsia="Aptos"/>
                <w:b w:val="1"/>
                <w:bCs w:val="1"/>
                <w:shd w:val="nil" w:color="auto" w:fill="auto"/>
                <w:rtl w:val="0"/>
                <w:lang w:val="en-US"/>
              </w:rPr>
              <w:t>Who</w:t>
            </w:r>
          </w:p>
        </w:tc>
        <w:tc>
          <w:tcPr>
            <w:tcW w:type="dxa" w:w="34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8fb"/>
            <w:tcMar>
              <w:top w:type="dxa" w:w="80"/>
              <w:left w:type="dxa" w:w="80"/>
              <w:bottom w:type="dxa" w:w="80"/>
              <w:right w:type="dxa" w:w="80"/>
            </w:tcMar>
            <w:vAlign w:val="top"/>
          </w:tcPr>
          <w:p>
            <w:pPr>
              <w:pStyle w:val="Body"/>
            </w:pPr>
            <w:r>
              <w:rPr>
                <w:rFonts w:ascii="Aptos" w:cs="Aptos" w:hAnsi="Aptos" w:eastAsia="Aptos"/>
                <w:b w:val="1"/>
                <w:bCs w:val="1"/>
                <w:shd w:val="nil" w:color="auto" w:fill="auto"/>
                <w:rtl w:val="0"/>
                <w:lang w:val="en-US"/>
              </w:rPr>
              <w:t>Status</w:t>
            </w:r>
          </w:p>
        </w:tc>
      </w:tr>
      <w:tr>
        <w:tblPrEx>
          <w:shd w:val="clear" w:color="auto" w:fill="ced7e7"/>
        </w:tblPrEx>
        <w:trPr>
          <w:trHeight w:val="270" w:hRule="atLeast"/>
        </w:trPr>
        <w:tc>
          <w:tcPr>
            <w:tcW w:type="dxa" w:w="34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Manuden PE sports shirt</w:t>
            </w:r>
          </w:p>
        </w:tc>
        <w:tc>
          <w:tcPr>
            <w:tcW w:type="dxa" w:w="34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All pupils</w:t>
            </w:r>
          </w:p>
        </w:tc>
        <w:tc>
          <w:tcPr>
            <w:tcW w:type="dxa" w:w="34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Compulsory branded item</w:t>
            </w:r>
          </w:p>
        </w:tc>
      </w:tr>
      <w:tr>
        <w:tblPrEx>
          <w:shd w:val="clear" w:color="auto" w:fill="ced7e7"/>
        </w:tblPrEx>
        <w:trPr>
          <w:trHeight w:val="270" w:hRule="atLeast"/>
        </w:trPr>
        <w:tc>
          <w:tcPr>
            <w:tcW w:type="dxa" w:w="34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Manuden school tie</w:t>
            </w:r>
          </w:p>
        </w:tc>
        <w:tc>
          <w:tcPr>
            <w:tcW w:type="dxa" w:w="34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Key Stage 2 only</w:t>
            </w:r>
          </w:p>
        </w:tc>
        <w:tc>
          <w:tcPr>
            <w:tcW w:type="dxa" w:w="34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shd w:val="nil" w:color="auto" w:fill="auto"/>
                <w:rtl w:val="0"/>
                <w:lang w:val="en-US"/>
              </w:rPr>
              <w:t>Compulsory branded item</w:t>
            </w:r>
          </w:p>
        </w:tc>
      </w:tr>
    </w:tbl>
    <w:p>
      <w:pPr>
        <w:pStyle w:val="Body"/>
        <w:widowControl w:val="0"/>
        <w:spacing w:line="240" w:lineRule="auto"/>
        <w:jc w:val="center"/>
      </w:pPr>
    </w:p>
    <w:p>
      <w:pPr>
        <w:pStyle w:val="Body"/>
      </w:pPr>
      <w:r>
        <w:rPr>
          <w:rtl w:val="0"/>
          <w:lang w:val="en-US"/>
        </w:rPr>
        <w:t>No other item is required to carry the Manuden logo. Branded cardigans, jumpers, PE shorts/skorts, sports hoodies/quarter-zips, book bags and PE bags may be available from the supplier, but they are optional. Where an optional branded item is offered, an appropriate unbranded equivalent is permitted.</w:t>
      </w:r>
    </w:p>
    <w:p>
      <w:pPr>
        <w:pStyle w:val="Heading"/>
      </w:pPr>
      <w:r>
        <w:rPr>
          <w:rtl w:val="0"/>
          <w:lang w:val="en-US"/>
        </w:rPr>
        <w:t>4. Everyday uniform</w:t>
      </w:r>
    </w:p>
    <w:p>
      <w:pPr>
        <w:pStyle w:val="Heading 2"/>
      </w:pPr>
      <w:r>
        <w:rPr>
          <w:rtl w:val="0"/>
          <w:lang w:val="en-US"/>
        </w:rPr>
        <w:t>Early Years and Key Stage 1</w:t>
      </w:r>
    </w:p>
    <w:p>
      <w:pPr>
        <w:pStyle w:val="List Bullet"/>
        <w:numPr>
          <w:ilvl w:val="0"/>
          <w:numId w:val="2"/>
        </w:numPr>
      </w:pPr>
      <w:r>
        <w:rPr>
          <w:rtl w:val="0"/>
          <w:lang w:val="en-US"/>
        </w:rPr>
        <w:t>Grey trousers, grey skirt or grey pinafore dress.</w:t>
      </w:r>
    </w:p>
    <w:p>
      <w:pPr>
        <w:pStyle w:val="List Bullet"/>
        <w:numPr>
          <w:ilvl w:val="0"/>
          <w:numId w:val="2"/>
        </w:numPr>
      </w:pPr>
      <w:r>
        <w:rPr>
          <w:rtl w:val="0"/>
          <w:lang w:val="en-US"/>
        </w:rPr>
        <w:t>White polo shirt.</w:t>
      </w:r>
    </w:p>
    <w:p>
      <w:pPr>
        <w:pStyle w:val="List Bullet"/>
        <w:numPr>
          <w:ilvl w:val="0"/>
          <w:numId w:val="2"/>
        </w:numPr>
      </w:pPr>
      <w:r>
        <w:rPr>
          <w:rtl w:val="0"/>
          <w:lang w:val="en-US"/>
        </w:rPr>
        <w:t>Plain navy cardigan or V-neck jumper. A school-logo version is optional.</w:t>
      </w:r>
    </w:p>
    <w:p>
      <w:pPr>
        <w:pStyle w:val="List Bullet"/>
        <w:numPr>
          <w:ilvl w:val="0"/>
          <w:numId w:val="2"/>
        </w:numPr>
      </w:pPr>
      <w:r>
        <w:rPr>
          <w:rtl w:val="0"/>
          <w:lang w:val="en-US"/>
        </w:rPr>
        <w:t>Grey or white socks, or grey tights, as appropriate to the chosen uniform.</w:t>
      </w:r>
    </w:p>
    <w:p>
      <w:pPr>
        <w:pStyle w:val="List Bullet"/>
        <w:numPr>
          <w:ilvl w:val="0"/>
          <w:numId w:val="2"/>
        </w:numPr>
      </w:pPr>
      <w:r>
        <w:rPr>
          <w:rtl w:val="0"/>
          <w:lang w:val="en-US"/>
        </w:rPr>
        <w:t>All-black trainers. Velcro or slip-on fastenings are strongly recommended where a child cannot yet independently tie laces.</w:t>
      </w:r>
    </w:p>
    <w:p>
      <w:pPr>
        <w:pStyle w:val="Heading 2"/>
      </w:pPr>
      <w:r>
        <w:rPr>
          <w:rtl w:val="0"/>
          <w:lang w:val="en-US"/>
        </w:rPr>
        <w:t>Key Stage 2</w:t>
      </w:r>
    </w:p>
    <w:p>
      <w:pPr>
        <w:pStyle w:val="List Bullet"/>
        <w:numPr>
          <w:ilvl w:val="0"/>
          <w:numId w:val="2"/>
        </w:numPr>
      </w:pPr>
      <w:r>
        <w:rPr>
          <w:rtl w:val="0"/>
          <w:lang w:val="en-US"/>
        </w:rPr>
        <w:t>Grey trousers, grey skirt or grey pinafore dress.</w:t>
      </w:r>
    </w:p>
    <w:p>
      <w:pPr>
        <w:pStyle w:val="List Bullet"/>
        <w:numPr>
          <w:ilvl w:val="0"/>
          <w:numId w:val="2"/>
        </w:numPr>
      </w:pPr>
      <w:r>
        <w:rPr>
          <w:rtl w:val="0"/>
          <w:lang w:val="en-US"/>
        </w:rPr>
        <w:t>White shirt or blouse, long or short sleeved.</w:t>
      </w:r>
    </w:p>
    <w:p>
      <w:pPr>
        <w:pStyle w:val="List Bullet"/>
        <w:numPr>
          <w:ilvl w:val="0"/>
          <w:numId w:val="2"/>
        </w:numPr>
      </w:pPr>
      <w:r>
        <w:rPr>
          <w:rtl w:val="0"/>
          <w:lang w:val="en-US"/>
        </w:rPr>
        <w:t>Manuden school tie.</w:t>
      </w:r>
    </w:p>
    <w:p>
      <w:pPr>
        <w:pStyle w:val="List Bullet"/>
        <w:numPr>
          <w:ilvl w:val="0"/>
          <w:numId w:val="2"/>
        </w:numPr>
      </w:pPr>
      <w:r>
        <w:rPr>
          <w:rtl w:val="0"/>
          <w:lang w:val="en-US"/>
        </w:rPr>
        <w:t>Plain navy cardigan or jumper. A school-logo version is optional.</w:t>
      </w:r>
    </w:p>
    <w:p>
      <w:pPr>
        <w:pStyle w:val="List Bullet"/>
        <w:numPr>
          <w:ilvl w:val="0"/>
          <w:numId w:val="2"/>
        </w:numPr>
      </w:pPr>
      <w:r>
        <w:rPr>
          <w:rtl w:val="0"/>
          <w:lang w:val="en-US"/>
        </w:rPr>
        <w:t>Grey or white socks, or grey tights, as appropriate to the chosen uniform.</w:t>
      </w:r>
    </w:p>
    <w:p>
      <w:pPr>
        <w:pStyle w:val="List Bullet"/>
        <w:numPr>
          <w:ilvl w:val="0"/>
          <w:numId w:val="2"/>
        </w:numPr>
      </w:pPr>
      <w:r>
        <w:rPr>
          <w:rtl w:val="0"/>
          <w:lang w:val="en-US"/>
        </w:rPr>
        <w:t>All-black trainers.</w:t>
      </w:r>
    </w:p>
    <w:p>
      <w:pPr>
        <w:pStyle w:val="Heading 2"/>
      </w:pPr>
      <w:r>
        <w:rPr>
          <w:rtl w:val="0"/>
          <w:lang w:val="de-DE"/>
        </w:rPr>
        <w:t>Summer uniform</w:t>
      </w:r>
    </w:p>
    <w:p>
      <w:pPr>
        <w:pStyle w:val="Body"/>
      </w:pPr>
      <w:r>
        <w:rPr>
          <w:rtl w:val="0"/>
          <w:lang w:val="en-US"/>
        </w:rPr>
        <w:t>Summer uniform may be worn during the Summer Term and, weather permitting, until the October half-term. Pupils may wear the usual everyday uniform or select from the following options:</w:t>
      </w:r>
    </w:p>
    <w:p>
      <w:pPr>
        <w:pStyle w:val="List Bullet"/>
        <w:numPr>
          <w:ilvl w:val="0"/>
          <w:numId w:val="2"/>
        </w:numPr>
      </w:pPr>
      <w:r>
        <w:rPr>
          <w:rtl w:val="0"/>
          <w:lang w:val="en-US"/>
        </w:rPr>
        <w:t>Blue gingham dress.</w:t>
      </w:r>
    </w:p>
    <w:p>
      <w:pPr>
        <w:pStyle w:val="List Bullet"/>
        <w:numPr>
          <w:ilvl w:val="0"/>
          <w:numId w:val="2"/>
        </w:numPr>
      </w:pPr>
      <w:r>
        <w:rPr>
          <w:rtl w:val="0"/>
          <w:lang w:val="en-US"/>
        </w:rPr>
        <w:t>Grey shorts or skirt.</w:t>
      </w:r>
    </w:p>
    <w:p>
      <w:pPr>
        <w:pStyle w:val="List Bullet"/>
        <w:numPr>
          <w:ilvl w:val="0"/>
          <w:numId w:val="2"/>
        </w:numPr>
      </w:pPr>
      <w:r>
        <w:rPr>
          <w:rtl w:val="0"/>
          <w:lang w:val="en-US"/>
        </w:rPr>
        <w:t>White polo shirt in Early Years/Key Stage 1, or white short-sleeved shirt/blouse in Key Stage 2.</w:t>
      </w:r>
    </w:p>
    <w:p>
      <w:pPr>
        <w:pStyle w:val="List Bullet"/>
        <w:numPr>
          <w:ilvl w:val="0"/>
          <w:numId w:val="2"/>
        </w:numPr>
      </w:pPr>
      <w:r>
        <w:rPr>
          <w:rtl w:val="0"/>
          <w:lang w:val="en-US"/>
        </w:rPr>
        <w:t>Plain navy cardigan or jumper if required; the school-logo version remains optional.</w:t>
      </w:r>
    </w:p>
    <w:p>
      <w:pPr>
        <w:pStyle w:val="List Bullet"/>
        <w:numPr>
          <w:ilvl w:val="0"/>
          <w:numId w:val="2"/>
        </w:numPr>
      </w:pPr>
      <w:r>
        <w:rPr>
          <w:rtl w:val="0"/>
          <w:lang w:val="en-US"/>
        </w:rPr>
        <w:t>Key Stage 2 pupils continue to wear the school tie unless staff advise otherwise during periods of warm weather.</w:t>
      </w:r>
    </w:p>
    <w:p>
      <w:pPr>
        <w:pStyle w:val="Body"/>
      </w:pPr>
      <w:r>
        <w:rPr>
          <w:rtl w:val="0"/>
          <w:lang w:val="en-US"/>
        </w:rPr>
        <w:t>Children should have a suitable coat in cold or wet weather. A school-branded coat is not required.</w:t>
      </w:r>
    </w:p>
    <w:p>
      <w:pPr>
        <w:pStyle w:val="Body"/>
      </w:pPr>
      <w:r>
        <w:rPr>
          <w:rtl w:val="0"/>
          <w:lang w:val="en-US"/>
        </w:rPr>
        <w:t>During particularly warm weather, the school may adapt uniform expectations to ensure that children remain comfortable and safe.</w:t>
      </w:r>
    </w:p>
    <w:p>
      <w:pPr>
        <w:pStyle w:val="Heading"/>
      </w:pPr>
      <w:r>
        <w:rPr>
          <w:rtl w:val="0"/>
          <w:lang w:val="en-US"/>
        </w:rPr>
        <w:t>5. Active uniform / PE days</w:t>
      </w:r>
    </w:p>
    <w:p>
      <w:pPr>
        <w:pStyle w:val="Body"/>
      </w:pPr>
      <w:r>
        <w:rPr>
          <w:rtl w:val="0"/>
          <w:lang w:val="en-US"/>
        </w:rPr>
        <w:t>Children attend school in their active uniform on designated PE days. The kit should be practical, comfortable and suitable for physical activity.</w:t>
      </w:r>
    </w:p>
    <w:p>
      <w:pPr>
        <w:pStyle w:val="List Bullet"/>
        <w:numPr>
          <w:ilvl w:val="0"/>
          <w:numId w:val="2"/>
        </w:numPr>
      </w:pPr>
      <w:r>
        <w:rPr>
          <w:rtl w:val="0"/>
          <w:lang w:val="en-US"/>
        </w:rPr>
        <w:t>Manuden PE sports shirt (compulsory branded item).</w:t>
      </w:r>
    </w:p>
    <w:p>
      <w:pPr>
        <w:pStyle w:val="List Bullet"/>
        <w:numPr>
          <w:ilvl w:val="0"/>
          <w:numId w:val="2"/>
        </w:numPr>
      </w:pPr>
      <w:r>
        <w:rPr>
          <w:rtl w:val="0"/>
          <w:lang w:val="en-US"/>
        </w:rPr>
        <w:t>Sports shorts or skort. A Manuden-branded version may be purchased, but a plain unbranded equivalent is permitted.</w:t>
      </w:r>
    </w:p>
    <w:p>
      <w:pPr>
        <w:pStyle w:val="List Bullet"/>
        <w:numPr>
          <w:ilvl w:val="0"/>
          <w:numId w:val="2"/>
        </w:numPr>
      </w:pPr>
      <w:r>
        <w:rPr>
          <w:rtl w:val="0"/>
          <w:lang w:val="en-US"/>
        </w:rPr>
        <w:t>Sports hoodie or quarter-zip sports top for colder weather. A Manuden-branded version may be purchased, but a suitable plain equivalent is permitted.</w:t>
      </w:r>
    </w:p>
    <w:p>
      <w:pPr>
        <w:pStyle w:val="List Bullet"/>
        <w:numPr>
          <w:ilvl w:val="0"/>
          <w:numId w:val="2"/>
        </w:numPr>
      </w:pPr>
      <w:r>
        <w:rPr>
          <w:rtl w:val="0"/>
          <w:lang w:val="en-US"/>
        </w:rPr>
        <w:t>Suitable trainers. For younger pupils, Velcro or slip-on fastenings are strongly recommended where the child cannot yet independently tie laces.</w:t>
      </w:r>
    </w:p>
    <w:p>
      <w:pPr>
        <w:pStyle w:val="Body"/>
      </w:pPr>
      <w:r>
        <w:rPr>
          <w:rtl w:val="0"/>
          <w:lang w:val="en-US"/>
        </w:rPr>
        <w:t>Children will not be required to purchase additional branded clothing in order to participate in PE lessons, school clubs, competitions or other school activities. Under the current statutory guidance, compulsory branded items used for clubs or activities also count towards the overall branded-item limit. Where specialist kit is needed for representation or safety, the school will seek to loan or provide it wherever practicable.</w:t>
      </w:r>
    </w:p>
    <w:p>
      <w:pPr>
        <w:pStyle w:val="Heading"/>
      </w:pPr>
      <w:r>
        <w:rPr>
          <w:rtl w:val="0"/>
          <w:lang w:val="en-US"/>
        </w:rPr>
        <w:t>6. Affordability and value for money</w:t>
      </w:r>
    </w:p>
    <w:p>
      <w:pPr>
        <w:pStyle w:val="Body"/>
      </w:pPr>
      <w:r>
        <w:rPr>
          <w:rtl w:val="0"/>
          <w:lang w:val="en-US"/>
        </w:rPr>
        <w:t>The school is committed to keeping uniform affordable. Generic items may be purchased from any retailer provided that they meet the descriptions in this policy. Families are not required to purchase generic items from the school</w:t>
      </w:r>
      <w:r>
        <w:rPr>
          <w:rtl w:val="1"/>
        </w:rPr>
        <w:t>’</w:t>
      </w:r>
      <w:r>
        <w:rPr>
          <w:rtl w:val="0"/>
          <w:lang w:val="en-US"/>
        </w:rPr>
        <w:t>s appointed supplier.</w:t>
      </w:r>
    </w:p>
    <w:p>
      <w:pPr>
        <w:pStyle w:val="List Bullet"/>
        <w:numPr>
          <w:ilvl w:val="0"/>
          <w:numId w:val="2"/>
        </w:numPr>
      </w:pPr>
      <w:r>
        <w:rPr>
          <w:rtl w:val="0"/>
          <w:lang w:val="en-US"/>
        </w:rPr>
        <w:t>Compulsory branded items are kept to a minimum and remain below the legal maximum of three for primary pupils.</w:t>
      </w:r>
    </w:p>
    <w:p>
      <w:pPr>
        <w:pStyle w:val="List Bullet"/>
        <w:numPr>
          <w:ilvl w:val="0"/>
          <w:numId w:val="2"/>
        </w:numPr>
      </w:pPr>
      <w:r>
        <w:rPr>
          <w:rtl w:val="0"/>
          <w:lang w:val="en-US"/>
        </w:rPr>
        <w:t>Optional branded items always have a permitted unbranded alternative.</w:t>
      </w:r>
    </w:p>
    <w:p>
      <w:pPr>
        <w:pStyle w:val="List Bullet"/>
        <w:numPr>
          <w:ilvl w:val="0"/>
          <w:numId w:val="2"/>
        </w:numPr>
      </w:pPr>
      <w:r>
        <w:rPr>
          <w:rtl w:val="0"/>
          <w:lang w:val="en-US"/>
        </w:rPr>
        <w:t>The school and Governing Body will consider cost, durability, quality and value for money when reviewing supplier arrangements.</w:t>
      </w:r>
    </w:p>
    <w:p>
      <w:pPr>
        <w:pStyle w:val="List Bullet"/>
        <w:numPr>
          <w:ilvl w:val="0"/>
          <w:numId w:val="2"/>
        </w:numPr>
      </w:pPr>
      <w:r>
        <w:rPr>
          <w:rtl w:val="0"/>
          <w:lang w:val="en-US"/>
        </w:rPr>
        <w:t>We never want the cost of school uniform to become a barrier to a child attending school or participating fully in school life. Families experiencing financial difficulty are encouraged to contact the school confidentially so that practical and sensitive support can be considered.</w:t>
      </w:r>
    </w:p>
    <w:p>
      <w:pPr>
        <w:pStyle w:val="Heading"/>
      </w:pPr>
      <w:r>
        <w:rPr>
          <w:rtl w:val="0"/>
          <w:lang w:val="en-US"/>
        </w:rPr>
        <w:t>7. Supplier and second-hand uniform</w:t>
      </w:r>
    </w:p>
    <w:p>
      <w:pPr>
        <w:pStyle w:val="Body"/>
      </w:pPr>
      <w:r>
        <w:rPr>
          <w:rtl w:val="0"/>
          <w:lang w:val="en-US"/>
        </w:rPr>
        <w:t>Our school uniform supplier is Top Form Schoolwear. School-branded items can be purchased through the Manuden Primary School section of the Top Form Schoolwear website. Families may choose to purchase optional branded items through Top Form Schoolwear, but all items other than the compulsory branded items identified in this policy may be purchased as suitable plain alternatives from other retailers.</w:t>
      </w:r>
    </w:p>
    <w:p>
      <w:pPr>
        <w:pStyle w:val="Body"/>
      </w:pPr>
      <w:r>
        <w:rPr>
          <w:rtl w:val="0"/>
          <w:lang w:val="en-US"/>
        </w:rPr>
        <w:t>The Manuden PFA maintains a stock of good-quality nearly-new uniform. This is available to all families and supports both affordability and sustainability. Families wishing to access nearly-new uniform can contact the PFA at PFA@manuden.essex.sch.uk. The school encourages families to donate good-quality outgrown uniform where possible.</w:t>
      </w:r>
    </w:p>
    <w:p>
      <w:pPr>
        <w:pStyle w:val="Heading"/>
      </w:pPr>
      <w:r>
        <w:rPr>
          <w:rtl w:val="0"/>
          <w:lang w:val="en-US"/>
        </w:rPr>
        <w:t>8. Equality, inclusion and reasonable adjustments</w:t>
      </w:r>
    </w:p>
    <w:p>
      <w:pPr>
        <w:pStyle w:val="Body"/>
      </w:pPr>
      <w:r>
        <w:rPr>
          <w:rtl w:val="0"/>
          <w:lang w:val="en-US"/>
        </w:rPr>
        <w:t>The uniform options in this policy are available to all pupils. The school will consider reasonable adjustments and individual variations where necessary because of disability, SEND, medical need, religion or belief, culture, sensory needs or another protected characteristic. Families should speak with the Headteacher or SENDCo where an adjustment may be required.</w:t>
      </w:r>
    </w:p>
    <w:p>
      <w:pPr>
        <w:pStyle w:val="Body"/>
      </w:pPr>
      <w:r>
        <w:rPr>
          <w:rtl w:val="0"/>
          <w:lang w:val="en-US"/>
        </w:rPr>
        <w:t>The school will take a flexible and proportionate approach where weather, health or safety makes a temporary variation appropriate.</w:t>
      </w:r>
    </w:p>
    <w:p>
      <w:pPr>
        <w:pStyle w:val="Heading"/>
      </w:pPr>
      <w:r>
        <w:rPr>
          <w:rtl w:val="0"/>
          <w:lang w:val="en-US"/>
        </w:rPr>
        <w:t>9. Expectations and non-compliance</w:t>
      </w:r>
    </w:p>
    <w:p>
      <w:pPr>
        <w:pStyle w:val="Body"/>
      </w:pPr>
      <w:r>
        <w:rPr>
          <w:rtl w:val="0"/>
          <w:lang w:val="en-US"/>
        </w:rPr>
        <w:t>Parents and carers are asked to support the school by ensuring that children attend in the correct uniform and that clothing is clearly named. Staff will reinforce expectations consistently and sensitively.</w:t>
      </w:r>
    </w:p>
    <w:p>
      <w:pPr>
        <w:pStyle w:val="Body"/>
      </w:pPr>
      <w:r>
        <w:rPr>
          <w:rtl w:val="0"/>
          <w:lang w:val="en-US"/>
        </w:rPr>
        <w:t>Where uniform expectations are not met, the school will first seek to understand the reason. Any response will be proportionate and consistent with the school</w:t>
      </w:r>
      <w:r>
        <w:rPr>
          <w:rtl w:val="1"/>
        </w:rPr>
        <w:t>’</w:t>
      </w:r>
      <w:r>
        <w:rPr>
          <w:rtl w:val="0"/>
          <w:lang w:val="en-US"/>
        </w:rPr>
        <w:t>s Behaviour Policy. Financial hardship, SEND, medical circumstances, religious requirements and other factors outside a pupil</w:t>
      </w:r>
      <w:r>
        <w:rPr>
          <w:rtl w:val="1"/>
        </w:rPr>
        <w:t>’</w:t>
      </w:r>
      <w:r>
        <w:rPr>
          <w:rtl w:val="0"/>
          <w:lang w:val="en-US"/>
        </w:rPr>
        <w:t>s control will be considered before any further action is taken.</w:t>
      </w:r>
    </w:p>
    <w:p>
      <w:pPr>
        <w:pStyle w:val="Heading"/>
      </w:pPr>
      <w:r>
        <w:rPr>
          <w:rtl w:val="0"/>
          <w:lang w:val="en-US"/>
        </w:rPr>
        <w:t>10. Consultation, monitoring and review</w:t>
      </w:r>
    </w:p>
    <w:p>
      <w:pPr>
        <w:pStyle w:val="Body"/>
      </w:pPr>
      <w:r>
        <w:rPr>
          <w:rtl w:val="0"/>
          <w:lang w:val="en-US"/>
        </w:rPr>
        <w:t>The school will engage with parents and pupils when making significant changes to uniform arrangements, particularly where there are cost implications. The Governing Body will review this policy at appropriate intervals and sooner if legislation or Department for Education guidance changes.</w:t>
      </w:r>
    </w:p>
    <w:p>
      <w:pPr>
        <w:pStyle w:val="Heading"/>
      </w:pPr>
      <w:r>
        <w:rPr>
          <w:rtl w:val="0"/>
          <w:lang w:val="en-US"/>
        </w:rPr>
        <w:t>11. Related documents and guidance</w:t>
      </w:r>
    </w:p>
    <w:p>
      <w:pPr>
        <w:pStyle w:val="List Bullet"/>
        <w:numPr>
          <w:ilvl w:val="0"/>
          <w:numId w:val="2"/>
        </w:numPr>
      </w:pPr>
      <w:r>
        <w:rPr>
          <w:rtl w:val="0"/>
          <w:lang w:val="en-US"/>
        </w:rPr>
        <w:t>Manuden Primary School Behaviour Policy.</w:t>
      </w:r>
    </w:p>
    <w:p>
      <w:pPr>
        <w:pStyle w:val="List Bullet"/>
        <w:numPr>
          <w:ilvl w:val="0"/>
          <w:numId w:val="2"/>
        </w:numPr>
      </w:pPr>
      <w:r>
        <w:rPr>
          <w:rtl w:val="0"/>
          <w:lang w:val="en-US"/>
        </w:rPr>
        <w:t>Manuden Primary School Equality information and objectives.</w:t>
      </w:r>
    </w:p>
    <w:p>
      <w:pPr>
        <w:pStyle w:val="List Bullet"/>
        <w:numPr>
          <w:ilvl w:val="0"/>
          <w:numId w:val="2"/>
        </w:numPr>
      </w:pPr>
      <w:r>
        <w:rPr>
          <w:rtl w:val="0"/>
          <w:lang w:val="en-US"/>
        </w:rPr>
        <w:t>Department for Education: Cost of school uniforms (statutory guidance).</w:t>
      </w:r>
    </w:p>
    <w:p>
      <w:pPr>
        <w:pStyle w:val="List Bullet"/>
        <w:numPr>
          <w:ilvl w:val="0"/>
          <w:numId w:val="2"/>
        </w:numPr>
      </w:pPr>
      <w:r>
        <w:rPr>
          <w:rtl w:val="0"/>
          <w:lang w:val="en-US"/>
        </w:rPr>
        <w:t>Department for Education: Developing school uniform policy.</w:t>
      </w:r>
    </w:p>
    <w:sectPr>
      <w:headerReference w:type="default" r:id="rId5"/>
      <w:footerReference w:type="default" r:id="rId6"/>
      <w:pgSz w:w="12240" w:h="15840" w:orient="portrait"/>
      <w:pgMar w:top="792" w:right="1037" w:bottom="835" w:left="1037" w:header="288"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 w:name="Aptos Display">
    <w:charset w:val="00"/>
    <w:family w:val="roman"/>
    <w:pitch w:val="default"/>
  </w:font>
  <w:font w:name="Cambria">
    <w:charset w:val="00"/>
    <w:family w:val="roman"/>
    <w:pitch w:val="default"/>
  </w:font>
  <w:font w:name="Cambria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Bdr>
        <w:top w:val="single" w:color="3e2b8f" w:sz="8" w:space="0" w:shadow="0" w:frame="0"/>
        <w:left w:val="nil"/>
        <w:bottom w:val="nil"/>
        <w:right w:val="nil"/>
      </w:pBdr>
      <w:jc w:val="center"/>
    </w:pPr>
    <w:r>
      <w:rPr>
        <w:outline w:val="0"/>
        <w:color w:val="5f6b7a"/>
        <w:sz w:val="14"/>
        <w:szCs w:val="14"/>
        <w:u w:color="5f6b7a"/>
        <w:rtl w:val="0"/>
        <w:lang w:val="en-US"/>
        <w14:textFill>
          <w14:solidFill>
            <w14:srgbClr w14:val="5F6B7A"/>
          </w14:solidFill>
        </w14:textFill>
      </w:rPr>
      <w:t>MANUDEN PRIMARY SCHOOL  |  The Street, Manuden, Bishop</w:t>
    </w:r>
    <w:r>
      <w:rPr>
        <w:outline w:val="0"/>
        <w:color w:val="5f6b7a"/>
        <w:sz w:val="14"/>
        <w:szCs w:val="14"/>
        <w:u w:color="5f6b7a"/>
        <w:rtl w:val="0"/>
        <w:lang w:val="en-US"/>
        <w14:textFill>
          <w14:solidFill>
            <w14:srgbClr w14:val="5F6B7A"/>
          </w14:solidFill>
        </w14:textFill>
      </w:rPr>
      <w:t>’</w:t>
    </w:r>
    <w:r>
      <w:rPr>
        <w:outline w:val="0"/>
        <w:color w:val="5f6b7a"/>
        <w:sz w:val="14"/>
        <w:szCs w:val="14"/>
        <w:u w:color="5f6b7a"/>
        <w:rtl w:val="0"/>
        <w:lang w:val="en-US"/>
        <w14:textFill>
          <w14:solidFill>
            <w14:srgbClr w14:val="5F6B7A"/>
          </w14:solidFill>
        </w14:textFill>
      </w:rPr>
      <w:t>s Stortford, CM23 1DE  |  01279 813370</w:t>
    </w:r>
  </w:p>
  <w:p>
    <w:pPr>
      <w:pStyle w:val="Body"/>
      <w:spacing w:before="20" w:after="0"/>
      <w:jc w:val="center"/>
    </w:pPr>
    <w:r>
      <w:rPr>
        <w:outline w:val="0"/>
        <w:color w:val="5f6b7a"/>
        <w:sz w:val="14"/>
        <w:szCs w:val="14"/>
        <w:u w:color="5f6b7a"/>
        <w:rtl w:val="0"/>
        <w:lang w:val="de-DE"/>
        <w14:textFill>
          <w14:solidFill>
            <w14:srgbClr w14:val="5F6B7A"/>
          </w14:solidFill>
        </w14:textFill>
      </w:rPr>
      <w:t>www.manudenprimary.co.uk  |  office@manuden.essex.sch.uk</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ptos" w:cs="Aptos" w:hAnsi="Aptos" w:eastAsia="Aptos"/>
      <w:b w:val="0"/>
      <w:bCs w:val="0"/>
      <w:i w:val="0"/>
      <w:iCs w:val="0"/>
      <w:caps w:val="0"/>
      <w:smallCaps w:val="0"/>
      <w:strike w:val="0"/>
      <w:dstrike w:val="0"/>
      <w:outline w:val="0"/>
      <w:color w:val="25324a"/>
      <w:spacing w:val="0"/>
      <w:kern w:val="0"/>
      <w:position w:val="0"/>
      <w:sz w:val="21"/>
      <w:szCs w:val="21"/>
      <w:u w:val="none" w:color="25324a"/>
      <w:shd w:val="nil" w:color="auto" w:fill="auto"/>
      <w:vertAlign w:val="baseline"/>
      <w:lang w:val="en-US"/>
      <w14:textFill>
        <w14:solidFill>
          <w14:srgbClr w14:val="25324A"/>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00" w:line="259" w:lineRule="auto"/>
      <w:ind w:left="0" w:right="0" w:firstLine="0"/>
      <w:jc w:val="left"/>
      <w:outlineLvl w:val="9"/>
    </w:pPr>
    <w:rPr>
      <w:rFonts w:ascii="Aptos" w:cs="Aptos" w:hAnsi="Aptos" w:eastAsia="Aptos"/>
      <w:b w:val="0"/>
      <w:bCs w:val="0"/>
      <w:i w:val="0"/>
      <w:iCs w:val="0"/>
      <w:caps w:val="0"/>
      <w:smallCaps w:val="0"/>
      <w:strike w:val="0"/>
      <w:dstrike w:val="0"/>
      <w:outline w:val="0"/>
      <w:color w:val="25324a"/>
      <w:spacing w:val="0"/>
      <w:kern w:val="0"/>
      <w:position w:val="0"/>
      <w:sz w:val="21"/>
      <w:szCs w:val="21"/>
      <w:u w:val="none" w:color="25324a"/>
      <w:shd w:val="nil" w:color="auto" w:fill="auto"/>
      <w:vertAlign w:val="baseline"/>
      <w:lang w:val="de-DE"/>
      <w14:textOutline>
        <w14:noFill/>
      </w14:textOutline>
      <w14:textFill>
        <w14:solidFill>
          <w14:srgbClr w14:val="25324A"/>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200" w:after="80" w:line="259" w:lineRule="auto"/>
      <w:ind w:left="0" w:right="0" w:firstLine="0"/>
      <w:jc w:val="left"/>
      <w:outlineLvl w:val="0"/>
    </w:pPr>
    <w:rPr>
      <w:rFonts w:ascii="Aptos" w:cs="Aptos" w:hAnsi="Aptos" w:eastAsia="Aptos"/>
      <w:b w:val="1"/>
      <w:bCs w:val="1"/>
      <w:i w:val="0"/>
      <w:iCs w:val="0"/>
      <w:caps w:val="0"/>
      <w:smallCaps w:val="0"/>
      <w:strike w:val="0"/>
      <w:dstrike w:val="0"/>
      <w:outline w:val="0"/>
      <w:color w:val="3e2b8f"/>
      <w:spacing w:val="0"/>
      <w:kern w:val="0"/>
      <w:position w:val="0"/>
      <w:sz w:val="30"/>
      <w:szCs w:val="30"/>
      <w:u w:val="none" w:color="3e2b8f"/>
      <w:shd w:val="nil" w:color="auto" w:fill="auto"/>
      <w:vertAlign w:val="baseline"/>
      <w:lang w:val="en-US"/>
      <w14:textOutline>
        <w14:noFill/>
      </w14:textOutline>
      <w14:textFill>
        <w14:solidFill>
          <w14:srgbClr w14:val="3E2B8F"/>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140" w:after="80" w:line="259" w:lineRule="auto"/>
      <w:ind w:left="0" w:right="0" w:firstLine="0"/>
      <w:jc w:val="left"/>
      <w:outlineLvl w:val="1"/>
    </w:pPr>
    <w:rPr>
      <w:rFonts w:ascii="Aptos" w:cs="Aptos" w:hAnsi="Aptos" w:eastAsia="Aptos"/>
      <w:b w:val="1"/>
      <w:bCs w:val="1"/>
      <w:i w:val="0"/>
      <w:iCs w:val="0"/>
      <w:caps w:val="0"/>
      <w:smallCaps w:val="0"/>
      <w:strike w:val="0"/>
      <w:dstrike w:val="0"/>
      <w:outline w:val="0"/>
      <w:color w:val="25324a"/>
      <w:spacing w:val="0"/>
      <w:kern w:val="0"/>
      <w:position w:val="0"/>
      <w:sz w:val="24"/>
      <w:szCs w:val="24"/>
      <w:u w:val="none" w:color="25324a"/>
      <w:shd w:val="nil" w:color="auto" w:fill="auto"/>
      <w:vertAlign w:val="baseline"/>
      <w:lang w:val="en-US"/>
      <w14:textOutline>
        <w14:noFill/>
      </w14:textOutline>
      <w14:textFill>
        <w14:solidFill>
          <w14:srgbClr w14:val="25324A"/>
        </w14:solidFill>
      </w14:textFill>
    </w:rPr>
  </w:style>
  <w:style w:type="paragraph" w:styleId="List Bullet">
    <w:name w:val="List Bullet"/>
    <w:next w:val="List Bullet"/>
    <w:pPr>
      <w:keepNext w:val="0"/>
      <w:keepLines w:val="0"/>
      <w:pageBreakBefore w:val="0"/>
      <w:widowControl w:val="1"/>
      <w:shd w:val="clear" w:color="auto" w:fill="auto"/>
      <w:tabs>
        <w:tab w:val="left" w:pos="360"/>
      </w:tabs>
      <w:suppressAutoHyphens w:val="0"/>
      <w:bidi w:val="0"/>
      <w:spacing w:before="0" w:after="100" w:line="259" w:lineRule="auto"/>
      <w:ind w:left="0" w:right="0" w:firstLine="0"/>
      <w:jc w:val="left"/>
      <w:outlineLvl w:val="9"/>
    </w:pPr>
    <w:rPr>
      <w:rFonts w:ascii="Aptos" w:cs="Aptos" w:hAnsi="Aptos" w:eastAsia="Aptos"/>
      <w:b w:val="0"/>
      <w:bCs w:val="0"/>
      <w:i w:val="0"/>
      <w:iCs w:val="0"/>
      <w:caps w:val="0"/>
      <w:smallCaps w:val="0"/>
      <w:strike w:val="0"/>
      <w:dstrike w:val="0"/>
      <w:outline w:val="0"/>
      <w:color w:val="25324a"/>
      <w:spacing w:val="0"/>
      <w:kern w:val="0"/>
      <w:position w:val="0"/>
      <w:sz w:val="21"/>
      <w:szCs w:val="21"/>
      <w:u w:val="none" w:color="25324a"/>
      <w:shd w:val="nil" w:color="auto" w:fill="auto"/>
      <w:vertAlign w:val="baseline"/>
      <w:lang w:val="en-US"/>
      <w14:textFill>
        <w14:solidFill>
          <w14:srgbClr w14:val="25324A"/>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