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Layout w:type="fixed"/>
        <w:tblLook w:val="04A0" w:firstRow="1" w:lastRow="0" w:firstColumn="1" w:lastColumn="0" w:noHBand="0" w:noVBand="1"/>
      </w:tblPr>
      <w:tblGrid>
        <w:gridCol w:w="5083"/>
        <w:gridCol w:w="5083"/>
      </w:tblGrid>
      <w:tr w:rsidR="008A0BF7" w14:paraId="62A214DA" w14:textId="77777777">
        <w:trPr>
          <w:cantSplit/>
          <w:tblHeader/>
          <w:jc w:val="center"/>
        </w:trPr>
        <w:tc>
          <w:tcPr>
            <w:tcW w:w="5083" w:type="dxa"/>
            <w:tcMar>
              <w:top w:w="20" w:type="dxa"/>
              <w:left w:w="5" w:type="dxa"/>
              <w:bottom w:w="20" w:type="dxa"/>
              <w:right w:w="5" w:type="dxa"/>
            </w:tcMar>
            <w:vAlign w:val="center"/>
          </w:tcPr>
          <w:p w14:paraId="5EE510F8" w14:textId="77777777" w:rsidR="008A0BF7" w:rsidRDefault="00D00288">
            <w:pPr>
              <w:rPr>
                <w:rFonts w:hint="eastAsia"/>
              </w:rPr>
            </w:pPr>
            <w:r>
              <w:rPr>
                <w:rFonts w:ascii="Comfortaa" w:eastAsia="Comfortaa" w:hAnsi="Comfortaa"/>
                <w:b/>
                <w:color w:val="3E2B8F"/>
                <w:sz w:val="46"/>
              </w:rPr>
              <w:t>MANUDEN</w:t>
            </w:r>
            <w:r>
              <w:rPr>
                <w:rFonts w:eastAsia="Aptos"/>
                <w:b/>
                <w:color w:val="F3C300"/>
                <w:sz w:val="26"/>
              </w:rPr>
              <w:t xml:space="preserve">  PRIMARY SCHOOL</w:t>
            </w:r>
          </w:p>
          <w:p w14:paraId="14C8D8F5" w14:textId="77777777" w:rsidR="008A0BF7" w:rsidRDefault="00D00288">
            <w:pPr>
              <w:rPr>
                <w:rFonts w:hint="eastAsia"/>
              </w:rPr>
            </w:pPr>
            <w:r>
              <w:rPr>
                <w:rFonts w:eastAsia="Aptos"/>
                <w:sz w:val="19"/>
              </w:rPr>
              <w:t>A Small School with Big Ideas</w:t>
            </w:r>
          </w:p>
        </w:tc>
        <w:tc>
          <w:tcPr>
            <w:tcW w:w="5083" w:type="dxa"/>
            <w:tcMar>
              <w:top w:w="20" w:type="dxa"/>
              <w:left w:w="5" w:type="dxa"/>
              <w:bottom w:w="20" w:type="dxa"/>
              <w:right w:w="5" w:type="dxa"/>
            </w:tcMar>
            <w:vAlign w:val="center"/>
          </w:tcPr>
          <w:p w14:paraId="7837E0D4" w14:textId="77777777" w:rsidR="008A0BF7" w:rsidRDefault="00D00288">
            <w:pPr>
              <w:jc w:val="center"/>
              <w:rPr>
                <w:rFonts w:hint="eastAsia"/>
              </w:rPr>
            </w:pPr>
            <w:r>
              <w:rPr>
                <w:noProof/>
              </w:rPr>
              <w:drawing>
                <wp:inline distT="0" distB="0" distL="0" distR="0" wp14:anchorId="2FE4FC45" wp14:editId="7EAE9F4E">
                  <wp:extent cx="1078992" cy="1169136"/>
                  <wp:effectExtent l="0" t="0" r="0" b="0"/>
                  <wp:docPr id="1" name="Picture 1" descr="Manuden Primary Scho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nuden_logo_clean.png"/>
                          <pic:cNvPicPr/>
                        </pic:nvPicPr>
                        <pic:blipFill>
                          <a:blip r:embed="rId8"/>
                          <a:stretch>
                            <a:fillRect/>
                          </a:stretch>
                        </pic:blipFill>
                        <pic:spPr>
                          <a:xfrm>
                            <a:off x="0" y="0"/>
                            <a:ext cx="1078992" cy="1169136"/>
                          </a:xfrm>
                          <a:prstGeom prst="rect">
                            <a:avLst/>
                          </a:prstGeom>
                        </pic:spPr>
                      </pic:pic>
                    </a:graphicData>
                  </a:graphic>
                </wp:inline>
              </w:drawing>
            </w:r>
          </w:p>
          <w:p w14:paraId="12B91D34" w14:textId="77777777" w:rsidR="008A0BF7" w:rsidRDefault="00D00288">
            <w:pPr>
              <w:jc w:val="center"/>
              <w:rPr>
                <w:rFonts w:hint="eastAsia"/>
              </w:rPr>
            </w:pPr>
            <w:r>
              <w:rPr>
                <w:rFonts w:eastAsia="Aptos"/>
                <w:b/>
                <w:color w:val="3E2B8F"/>
                <w:sz w:val="17"/>
              </w:rPr>
              <w:t>POLICY DOCUMENT</w:t>
            </w:r>
          </w:p>
        </w:tc>
      </w:tr>
    </w:tbl>
    <w:p w14:paraId="7F06DB8A" w14:textId="77777777" w:rsidR="008A0BF7" w:rsidRDefault="008A0BF7">
      <w:pPr>
        <w:pBdr>
          <w:bottom w:val="single" w:sz="24" w:space="3" w:color="F3C300"/>
        </w:pBdr>
        <w:spacing w:after="260"/>
        <w:rPr>
          <w:rFonts w:hint="eastAsia"/>
        </w:rPr>
      </w:pPr>
    </w:p>
    <w:p w14:paraId="45212FFF" w14:textId="77777777" w:rsidR="008A0BF7" w:rsidRDefault="00D00288">
      <w:pPr>
        <w:spacing w:after="60"/>
        <w:jc w:val="center"/>
        <w:rPr>
          <w:rFonts w:hint="eastAsia"/>
        </w:rPr>
      </w:pPr>
      <w:r>
        <w:rPr>
          <w:rFonts w:ascii="Comfortaa" w:eastAsia="Comfortaa" w:hAnsi="Comfortaa"/>
          <w:b/>
          <w:color w:val="3E2B8F"/>
          <w:sz w:val="47"/>
        </w:rPr>
        <w:t>ALLERGY SAFETY POLICY</w:t>
      </w:r>
    </w:p>
    <w:p w14:paraId="253B3503" w14:textId="77777777" w:rsidR="008A0BF7" w:rsidRDefault="00D00288">
      <w:pPr>
        <w:spacing w:after="260"/>
        <w:jc w:val="center"/>
        <w:rPr>
          <w:rFonts w:hint="eastAsia"/>
        </w:rPr>
      </w:pPr>
      <w:r>
        <w:rPr>
          <w:rFonts w:eastAsia="Aptos"/>
          <w:sz w:val="21"/>
        </w:rPr>
        <w:t>Growing Hearts  •  Growing Minds  •  Growing Dreams</w:t>
      </w:r>
    </w:p>
    <w:tbl>
      <w:tblPr>
        <w:tblW w:w="0" w:type="auto"/>
        <w:jc w:val="center"/>
        <w:tblLayout w:type="fixed"/>
        <w:tblLook w:val="04A0" w:firstRow="1" w:lastRow="0" w:firstColumn="1" w:lastColumn="0" w:noHBand="0" w:noVBand="1"/>
      </w:tblPr>
      <w:tblGrid>
        <w:gridCol w:w="3389"/>
        <w:gridCol w:w="3389"/>
        <w:gridCol w:w="3389"/>
      </w:tblGrid>
      <w:tr w:rsidR="008A0BF7" w14:paraId="7C2A1783" w14:textId="77777777">
        <w:trPr>
          <w:cantSplit/>
          <w:tblHeader/>
          <w:jc w:val="center"/>
        </w:trPr>
        <w:tc>
          <w:tcPr>
            <w:tcW w:w="3389" w:type="dxa"/>
            <w:shd w:val="clear" w:color="auto" w:fill="3E2B8F"/>
            <w:tcMar>
              <w:top w:w="0" w:type="dxa"/>
              <w:left w:w="0" w:type="dxa"/>
              <w:bottom w:w="0" w:type="dxa"/>
              <w:right w:w="0" w:type="dxa"/>
            </w:tcMar>
          </w:tcPr>
          <w:p w14:paraId="6B6D72BA" w14:textId="77777777" w:rsidR="008A0BF7" w:rsidRDefault="00D00288">
            <w:pPr>
              <w:rPr>
                <w:rFonts w:hint="eastAsia"/>
              </w:rPr>
            </w:pPr>
            <w:r>
              <w:rPr>
                <w:rFonts w:eastAsia="Aptos"/>
                <w:sz w:val="4"/>
              </w:rPr>
              <w:t xml:space="preserve"> </w:t>
            </w:r>
          </w:p>
        </w:tc>
        <w:tc>
          <w:tcPr>
            <w:tcW w:w="3389" w:type="dxa"/>
            <w:shd w:val="clear" w:color="auto" w:fill="F3C300"/>
            <w:tcMar>
              <w:top w:w="0" w:type="dxa"/>
              <w:left w:w="0" w:type="dxa"/>
              <w:bottom w:w="0" w:type="dxa"/>
              <w:right w:w="0" w:type="dxa"/>
            </w:tcMar>
          </w:tcPr>
          <w:p w14:paraId="60D74414" w14:textId="77777777" w:rsidR="008A0BF7" w:rsidRDefault="00D00288">
            <w:pPr>
              <w:rPr>
                <w:rFonts w:hint="eastAsia"/>
              </w:rPr>
            </w:pPr>
            <w:r>
              <w:rPr>
                <w:rFonts w:eastAsia="Aptos"/>
                <w:sz w:val="4"/>
              </w:rPr>
              <w:t xml:space="preserve"> </w:t>
            </w:r>
          </w:p>
        </w:tc>
        <w:tc>
          <w:tcPr>
            <w:tcW w:w="3389" w:type="dxa"/>
            <w:shd w:val="clear" w:color="auto" w:fill="3E2B8F"/>
            <w:tcMar>
              <w:top w:w="0" w:type="dxa"/>
              <w:left w:w="0" w:type="dxa"/>
              <w:bottom w:w="0" w:type="dxa"/>
              <w:right w:w="0" w:type="dxa"/>
            </w:tcMar>
          </w:tcPr>
          <w:p w14:paraId="3D5B8C81" w14:textId="77777777" w:rsidR="008A0BF7" w:rsidRDefault="00D00288">
            <w:pPr>
              <w:rPr>
                <w:rFonts w:hint="eastAsia"/>
              </w:rPr>
            </w:pPr>
            <w:r>
              <w:rPr>
                <w:rFonts w:eastAsia="Aptos"/>
                <w:sz w:val="4"/>
              </w:rPr>
              <w:t xml:space="preserve"> </w:t>
            </w:r>
          </w:p>
        </w:tc>
      </w:tr>
    </w:tbl>
    <w:p w14:paraId="75D4F6F2" w14:textId="77777777" w:rsidR="008A0BF7" w:rsidRDefault="008A0BF7">
      <w:pPr>
        <w:spacing w:after="60"/>
        <w:rPr>
          <w:rFonts w:hint="eastAsia"/>
        </w:rPr>
      </w:pPr>
    </w:p>
    <w:p w14:paraId="06129396" w14:textId="77777777" w:rsidR="008A0BF7" w:rsidRDefault="00D00288">
      <w:pPr>
        <w:pBdr>
          <w:bottom w:val="single" w:sz="8" w:space="3" w:color="3E2B8F"/>
        </w:pBdr>
        <w:spacing w:after="120"/>
        <w:rPr>
          <w:rFonts w:hint="eastAsia"/>
        </w:rPr>
      </w:pPr>
      <w:r>
        <w:rPr>
          <w:rFonts w:eastAsia="Aptos"/>
          <w:b/>
        </w:rPr>
        <w:t>POLICY INFORMATION</w:t>
      </w:r>
    </w:p>
    <w:tbl>
      <w:tblPr>
        <w:tblW w:w="0" w:type="auto"/>
        <w:jc w:val="center"/>
        <w:tblLayout w:type="fixed"/>
        <w:tblLook w:val="04A0" w:firstRow="1" w:lastRow="0" w:firstColumn="1" w:lastColumn="0" w:noHBand="0" w:noVBand="1"/>
      </w:tblPr>
      <w:tblGrid>
        <w:gridCol w:w="5083"/>
        <w:gridCol w:w="5083"/>
      </w:tblGrid>
      <w:tr w:rsidR="008A0BF7" w14:paraId="785D78BD" w14:textId="77777777">
        <w:trPr>
          <w:cantSplit/>
          <w:tblHeader/>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8"/>
            <w:tcMar>
              <w:top w:w="90" w:type="dxa"/>
              <w:left w:w="110" w:type="dxa"/>
              <w:bottom w:w="90" w:type="dxa"/>
              <w:right w:w="110" w:type="dxa"/>
            </w:tcMar>
            <w:vAlign w:val="center"/>
          </w:tcPr>
          <w:p w14:paraId="11B483BD" w14:textId="77777777" w:rsidR="008A0BF7" w:rsidRDefault="00D00288">
            <w:pPr>
              <w:rPr>
                <w:rFonts w:hint="eastAsia"/>
              </w:rPr>
            </w:pPr>
            <w:r>
              <w:rPr>
                <w:rFonts w:eastAsia="Aptos"/>
                <w:b/>
                <w:sz w:val="18"/>
              </w:rPr>
              <w:t>Policy owner / lead</w:t>
            </w:r>
          </w:p>
        </w:tc>
        <w:tc>
          <w:tcPr>
            <w:tcW w:w="5083" w:type="dxa"/>
            <w:tcBorders>
              <w:top w:val="single" w:sz="5" w:space="0" w:color="D8DCE3"/>
              <w:left w:val="single" w:sz="5" w:space="0" w:color="D8DCE3"/>
              <w:bottom w:val="single" w:sz="5" w:space="0" w:color="D8DCE3"/>
              <w:right w:val="single" w:sz="5" w:space="0" w:color="D8DCE3"/>
            </w:tcBorders>
            <w:tcMar>
              <w:top w:w="90" w:type="dxa"/>
              <w:left w:w="110" w:type="dxa"/>
              <w:bottom w:w="90" w:type="dxa"/>
              <w:right w:w="110" w:type="dxa"/>
            </w:tcMar>
            <w:vAlign w:val="center"/>
          </w:tcPr>
          <w:p w14:paraId="552E9D82" w14:textId="77777777" w:rsidR="008A0BF7" w:rsidRDefault="00D00288">
            <w:pPr>
              <w:rPr>
                <w:rFonts w:hint="eastAsia"/>
              </w:rPr>
            </w:pPr>
            <w:r>
              <w:rPr>
                <w:rFonts w:eastAsia="Aptos"/>
                <w:sz w:val="18"/>
              </w:rPr>
              <w:t>Phil Molyneux (Headteacher and Allergy Safety Lead)</w:t>
            </w:r>
          </w:p>
        </w:tc>
      </w:tr>
      <w:tr w:rsidR="008A0BF7" w14:paraId="0BA5A1DD"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8"/>
            <w:tcMar>
              <w:top w:w="90" w:type="dxa"/>
              <w:left w:w="110" w:type="dxa"/>
              <w:bottom w:w="90" w:type="dxa"/>
              <w:right w:w="110" w:type="dxa"/>
            </w:tcMar>
            <w:vAlign w:val="center"/>
          </w:tcPr>
          <w:p w14:paraId="34EDD5CF" w14:textId="77777777" w:rsidR="008A0BF7" w:rsidRDefault="00D00288">
            <w:pPr>
              <w:rPr>
                <w:rFonts w:hint="eastAsia"/>
              </w:rPr>
            </w:pPr>
            <w:r>
              <w:rPr>
                <w:rFonts w:eastAsia="Aptos"/>
                <w:b/>
                <w:sz w:val="18"/>
              </w:rPr>
              <w:t>Approved by</w:t>
            </w:r>
          </w:p>
        </w:tc>
        <w:tc>
          <w:tcPr>
            <w:tcW w:w="5083" w:type="dxa"/>
            <w:tcBorders>
              <w:top w:val="single" w:sz="5" w:space="0" w:color="D8DCE3"/>
              <w:left w:val="single" w:sz="5" w:space="0" w:color="D8DCE3"/>
              <w:bottom w:val="single" w:sz="5" w:space="0" w:color="D8DCE3"/>
              <w:right w:val="single" w:sz="5" w:space="0" w:color="D8DCE3"/>
            </w:tcBorders>
            <w:tcMar>
              <w:top w:w="90" w:type="dxa"/>
              <w:left w:w="110" w:type="dxa"/>
              <w:bottom w:w="90" w:type="dxa"/>
              <w:right w:w="110" w:type="dxa"/>
            </w:tcMar>
            <w:vAlign w:val="center"/>
          </w:tcPr>
          <w:p w14:paraId="23303673" w14:textId="77777777" w:rsidR="008A0BF7" w:rsidRDefault="00D00288">
            <w:pPr>
              <w:rPr>
                <w:rFonts w:hint="eastAsia"/>
              </w:rPr>
            </w:pPr>
            <w:r>
              <w:rPr>
                <w:rFonts w:eastAsia="Aptos"/>
                <w:sz w:val="18"/>
              </w:rPr>
              <w:t>Governing Body</w:t>
            </w:r>
          </w:p>
        </w:tc>
      </w:tr>
      <w:tr w:rsidR="008A0BF7" w14:paraId="6A50EDA1"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8"/>
            <w:tcMar>
              <w:top w:w="90" w:type="dxa"/>
              <w:left w:w="110" w:type="dxa"/>
              <w:bottom w:w="90" w:type="dxa"/>
              <w:right w:w="110" w:type="dxa"/>
            </w:tcMar>
            <w:vAlign w:val="center"/>
          </w:tcPr>
          <w:p w14:paraId="6C3F44B8" w14:textId="77777777" w:rsidR="008A0BF7" w:rsidRDefault="00D00288">
            <w:pPr>
              <w:rPr>
                <w:rFonts w:hint="eastAsia"/>
              </w:rPr>
            </w:pPr>
            <w:r>
              <w:rPr>
                <w:rFonts w:eastAsia="Aptos"/>
                <w:b/>
                <w:sz w:val="18"/>
              </w:rPr>
              <w:t>Approval / adoption date</w:t>
            </w:r>
          </w:p>
        </w:tc>
        <w:tc>
          <w:tcPr>
            <w:tcW w:w="5083" w:type="dxa"/>
            <w:tcBorders>
              <w:top w:val="single" w:sz="5" w:space="0" w:color="D8DCE3"/>
              <w:left w:val="single" w:sz="5" w:space="0" w:color="D8DCE3"/>
              <w:bottom w:val="single" w:sz="5" w:space="0" w:color="D8DCE3"/>
              <w:right w:val="single" w:sz="5" w:space="0" w:color="D8DCE3"/>
            </w:tcBorders>
            <w:tcMar>
              <w:top w:w="90" w:type="dxa"/>
              <w:left w:w="110" w:type="dxa"/>
              <w:bottom w:w="90" w:type="dxa"/>
              <w:right w:w="110" w:type="dxa"/>
            </w:tcMar>
            <w:vAlign w:val="center"/>
          </w:tcPr>
          <w:p w14:paraId="523C31D7" w14:textId="77777777" w:rsidR="008A0BF7" w:rsidRDefault="00D00288">
            <w:pPr>
              <w:rPr>
                <w:rFonts w:hint="eastAsia"/>
              </w:rPr>
            </w:pPr>
            <w:r>
              <w:rPr>
                <w:rFonts w:eastAsia="Aptos"/>
                <w:sz w:val="18"/>
              </w:rPr>
              <w:t>To be confirmed following Governing Body approval</w:t>
            </w:r>
          </w:p>
        </w:tc>
      </w:tr>
      <w:tr w:rsidR="008A0BF7" w14:paraId="37D20E12"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8"/>
            <w:tcMar>
              <w:top w:w="90" w:type="dxa"/>
              <w:left w:w="110" w:type="dxa"/>
              <w:bottom w:w="90" w:type="dxa"/>
              <w:right w:w="110" w:type="dxa"/>
            </w:tcMar>
            <w:vAlign w:val="center"/>
          </w:tcPr>
          <w:p w14:paraId="3DB9223D" w14:textId="77777777" w:rsidR="008A0BF7" w:rsidRDefault="00D00288">
            <w:pPr>
              <w:rPr>
                <w:rFonts w:hint="eastAsia"/>
              </w:rPr>
            </w:pPr>
            <w:r>
              <w:rPr>
                <w:rFonts w:eastAsia="Aptos"/>
                <w:b/>
                <w:sz w:val="18"/>
              </w:rPr>
              <w:t>Next review date</w:t>
            </w:r>
          </w:p>
        </w:tc>
        <w:tc>
          <w:tcPr>
            <w:tcW w:w="5083" w:type="dxa"/>
            <w:tcBorders>
              <w:top w:val="single" w:sz="5" w:space="0" w:color="D8DCE3"/>
              <w:left w:val="single" w:sz="5" w:space="0" w:color="D8DCE3"/>
              <w:bottom w:val="single" w:sz="5" w:space="0" w:color="D8DCE3"/>
              <w:right w:val="single" w:sz="5" w:space="0" w:color="D8DCE3"/>
            </w:tcBorders>
            <w:tcMar>
              <w:top w:w="90" w:type="dxa"/>
              <w:left w:w="110" w:type="dxa"/>
              <w:bottom w:w="90" w:type="dxa"/>
              <w:right w:w="110" w:type="dxa"/>
            </w:tcMar>
            <w:vAlign w:val="center"/>
          </w:tcPr>
          <w:p w14:paraId="02635575" w14:textId="77777777" w:rsidR="008A0BF7" w:rsidRDefault="00D00288">
            <w:pPr>
              <w:rPr>
                <w:rFonts w:hint="eastAsia"/>
              </w:rPr>
            </w:pPr>
            <w:r>
              <w:rPr>
                <w:rFonts w:eastAsia="Aptos"/>
                <w:sz w:val="18"/>
              </w:rPr>
              <w:t>September 2027</w:t>
            </w:r>
          </w:p>
        </w:tc>
      </w:tr>
      <w:tr w:rsidR="008A0BF7" w14:paraId="2DED0473"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8"/>
            <w:tcMar>
              <w:top w:w="90" w:type="dxa"/>
              <w:left w:w="110" w:type="dxa"/>
              <w:bottom w:w="90" w:type="dxa"/>
              <w:right w:w="110" w:type="dxa"/>
            </w:tcMar>
            <w:vAlign w:val="center"/>
          </w:tcPr>
          <w:p w14:paraId="10729499" w14:textId="77777777" w:rsidR="008A0BF7" w:rsidRDefault="00D00288">
            <w:pPr>
              <w:rPr>
                <w:rFonts w:hint="eastAsia"/>
              </w:rPr>
            </w:pPr>
            <w:r>
              <w:rPr>
                <w:rFonts w:eastAsia="Aptos"/>
                <w:b/>
                <w:sz w:val="18"/>
              </w:rPr>
              <w:t>Review cycle</w:t>
            </w:r>
          </w:p>
        </w:tc>
        <w:tc>
          <w:tcPr>
            <w:tcW w:w="5083" w:type="dxa"/>
            <w:tcBorders>
              <w:top w:val="single" w:sz="5" w:space="0" w:color="D8DCE3"/>
              <w:left w:val="single" w:sz="5" w:space="0" w:color="D8DCE3"/>
              <w:bottom w:val="single" w:sz="5" w:space="0" w:color="D8DCE3"/>
              <w:right w:val="single" w:sz="5" w:space="0" w:color="D8DCE3"/>
            </w:tcBorders>
            <w:tcMar>
              <w:top w:w="90" w:type="dxa"/>
              <w:left w:w="110" w:type="dxa"/>
              <w:bottom w:w="90" w:type="dxa"/>
              <w:right w:w="110" w:type="dxa"/>
            </w:tcMar>
            <w:vAlign w:val="center"/>
          </w:tcPr>
          <w:p w14:paraId="16BB63B6" w14:textId="77777777" w:rsidR="008A0BF7" w:rsidRDefault="00D00288">
            <w:pPr>
              <w:rPr>
                <w:rFonts w:hint="eastAsia"/>
              </w:rPr>
            </w:pPr>
            <w:r>
              <w:rPr>
                <w:rFonts w:eastAsia="Aptos"/>
                <w:sz w:val="18"/>
              </w:rPr>
              <w:t>At least annually and after any serious allergy incident or significant near miss</w:t>
            </w:r>
          </w:p>
        </w:tc>
      </w:tr>
      <w:tr w:rsidR="008A0BF7" w14:paraId="2F0BB474"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8"/>
            <w:tcMar>
              <w:top w:w="90" w:type="dxa"/>
              <w:left w:w="110" w:type="dxa"/>
              <w:bottom w:w="90" w:type="dxa"/>
              <w:right w:w="110" w:type="dxa"/>
            </w:tcMar>
            <w:vAlign w:val="center"/>
          </w:tcPr>
          <w:p w14:paraId="78D0869E" w14:textId="77777777" w:rsidR="008A0BF7" w:rsidRDefault="00D00288">
            <w:pPr>
              <w:rPr>
                <w:rFonts w:hint="eastAsia"/>
              </w:rPr>
            </w:pPr>
            <w:r>
              <w:rPr>
                <w:rFonts w:eastAsia="Aptos"/>
                <w:b/>
                <w:sz w:val="18"/>
              </w:rPr>
              <w:t>Version</w:t>
            </w:r>
          </w:p>
        </w:tc>
        <w:tc>
          <w:tcPr>
            <w:tcW w:w="5083" w:type="dxa"/>
            <w:tcBorders>
              <w:top w:val="single" w:sz="5" w:space="0" w:color="D8DCE3"/>
              <w:left w:val="single" w:sz="5" w:space="0" w:color="D8DCE3"/>
              <w:bottom w:val="single" w:sz="5" w:space="0" w:color="D8DCE3"/>
              <w:right w:val="single" w:sz="5" w:space="0" w:color="D8DCE3"/>
            </w:tcBorders>
            <w:tcMar>
              <w:top w:w="90" w:type="dxa"/>
              <w:left w:w="110" w:type="dxa"/>
              <w:bottom w:w="90" w:type="dxa"/>
              <w:right w:w="110" w:type="dxa"/>
            </w:tcMar>
            <w:vAlign w:val="center"/>
          </w:tcPr>
          <w:p w14:paraId="72C9493E" w14:textId="77777777" w:rsidR="008A0BF7" w:rsidRDefault="00D00288">
            <w:pPr>
              <w:rPr>
                <w:rFonts w:hint="eastAsia"/>
              </w:rPr>
            </w:pPr>
            <w:r>
              <w:rPr>
                <w:rFonts w:eastAsia="Aptos"/>
                <w:sz w:val="18"/>
              </w:rPr>
              <w:t>1.0</w:t>
            </w:r>
          </w:p>
        </w:tc>
      </w:tr>
      <w:tr w:rsidR="008A0BF7" w14:paraId="27C3FA78"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8"/>
            <w:tcMar>
              <w:top w:w="90" w:type="dxa"/>
              <w:left w:w="110" w:type="dxa"/>
              <w:bottom w:w="90" w:type="dxa"/>
              <w:right w:w="110" w:type="dxa"/>
            </w:tcMar>
            <w:vAlign w:val="center"/>
          </w:tcPr>
          <w:p w14:paraId="6F169364" w14:textId="77777777" w:rsidR="008A0BF7" w:rsidRDefault="00D00288">
            <w:pPr>
              <w:rPr>
                <w:rFonts w:hint="eastAsia"/>
              </w:rPr>
            </w:pPr>
            <w:r>
              <w:rPr>
                <w:rFonts w:eastAsia="Aptos"/>
                <w:b/>
                <w:sz w:val="18"/>
              </w:rPr>
              <w:t>Policy status</w:t>
            </w:r>
          </w:p>
        </w:tc>
        <w:tc>
          <w:tcPr>
            <w:tcW w:w="5083" w:type="dxa"/>
            <w:tcBorders>
              <w:top w:val="single" w:sz="5" w:space="0" w:color="D8DCE3"/>
              <w:left w:val="single" w:sz="5" w:space="0" w:color="D8DCE3"/>
              <w:bottom w:val="single" w:sz="5" w:space="0" w:color="D8DCE3"/>
              <w:right w:val="single" w:sz="5" w:space="0" w:color="D8DCE3"/>
            </w:tcBorders>
            <w:tcMar>
              <w:top w:w="90" w:type="dxa"/>
              <w:left w:w="110" w:type="dxa"/>
              <w:bottom w:w="90" w:type="dxa"/>
              <w:right w:w="110" w:type="dxa"/>
            </w:tcMar>
            <w:vAlign w:val="center"/>
          </w:tcPr>
          <w:p w14:paraId="50214795" w14:textId="77777777" w:rsidR="008A0BF7" w:rsidRDefault="00D00288">
            <w:pPr>
              <w:rPr>
                <w:rFonts w:hint="eastAsia"/>
              </w:rPr>
            </w:pPr>
            <w:r>
              <w:rPr>
                <w:rFonts w:eastAsia="Aptos"/>
                <w:sz w:val="18"/>
              </w:rPr>
              <w:t>Statutory allergy safety policy</w:t>
            </w:r>
          </w:p>
        </w:tc>
      </w:tr>
    </w:tbl>
    <w:p w14:paraId="246C912E" w14:textId="77777777" w:rsidR="008A0BF7" w:rsidRDefault="00D00288">
      <w:pPr>
        <w:spacing w:before="120" w:after="40"/>
        <w:rPr>
          <w:rFonts w:hint="eastAsia"/>
        </w:rPr>
      </w:pPr>
      <w:r>
        <w:rPr>
          <w:rFonts w:eastAsia="Aptos"/>
          <w:b/>
          <w:sz w:val="18"/>
        </w:rPr>
        <w:t xml:space="preserve">This policy applies to: </w:t>
      </w:r>
      <w:r>
        <w:rPr>
          <w:rFonts w:eastAsia="Aptos"/>
          <w:color w:val="5F6674"/>
          <w:sz w:val="18"/>
        </w:rPr>
        <w:t>All pupils and all staff, supply staff, regular volunteers, catering staff and other adults with a pupil-facing role, as relevant to their responsibilities.</w:t>
      </w:r>
    </w:p>
    <w:p w14:paraId="740A6567" w14:textId="77777777" w:rsidR="008A0BF7" w:rsidRDefault="00D00288">
      <w:pPr>
        <w:spacing w:after="0"/>
        <w:rPr>
          <w:rFonts w:hint="eastAsia"/>
        </w:rPr>
      </w:pPr>
      <w:r>
        <w:rPr>
          <w:rFonts w:eastAsia="Aptos"/>
          <w:b/>
          <w:sz w:val="18"/>
        </w:rPr>
        <w:t xml:space="preserve">Related documents: </w:t>
      </w:r>
      <w:r>
        <w:rPr>
          <w:rFonts w:eastAsia="Aptos"/>
          <w:color w:val="5F6674"/>
          <w:sz w:val="18"/>
        </w:rPr>
        <w:t>Supporting Pupils with Medical Conditions Policy; Child Protection and Safeguarding Policy; First Aid Policy; Health and Safety Policy; SEND Policy; Equality Policy; Anti-Bullying Policy; Behaviour Policy; Educational Visits procedures; Data Protection Policy; School Food arrangements.</w:t>
      </w:r>
    </w:p>
    <w:p w14:paraId="4DE11C80" w14:textId="77777777" w:rsidR="008A0BF7" w:rsidRDefault="00D00288">
      <w:pPr>
        <w:rPr>
          <w:rFonts w:hint="eastAsia"/>
        </w:rPr>
      </w:pPr>
      <w:r>
        <w:br w:type="page"/>
      </w:r>
    </w:p>
    <w:p w14:paraId="500F2C8C" w14:textId="77777777" w:rsidR="008A0BF7" w:rsidRDefault="00D00288">
      <w:pPr>
        <w:pStyle w:val="Heading1"/>
      </w:pPr>
      <w:r>
        <w:lastRenderedPageBreak/>
        <w:t>Key Manuden Arrangements</w:t>
      </w:r>
    </w:p>
    <w:p w14:paraId="712CCCB9" w14:textId="77777777" w:rsidR="008A0BF7" w:rsidRDefault="00D00288">
      <w:pPr>
        <w:rPr>
          <w:rFonts w:hint="eastAsia"/>
        </w:rPr>
      </w:pPr>
      <w:r>
        <w:t xml:space="preserve">The arrangements below are the agreed local procedures at Manuden Primary School. Individual pupils may need different or additional arrangements, which will be recorded in their Individual </w:t>
      </w:r>
      <w:r>
        <w:t>Healthcare Plan (IHP) and Allergy Action Plan.</w:t>
      </w:r>
    </w:p>
    <w:tbl>
      <w:tblPr>
        <w:tblW w:w="0" w:type="auto"/>
        <w:jc w:val="center"/>
        <w:tblLayout w:type="fixed"/>
        <w:tblLook w:val="04A0" w:firstRow="1" w:lastRow="0" w:firstColumn="1" w:lastColumn="0" w:noHBand="0" w:noVBand="1"/>
      </w:tblPr>
      <w:tblGrid>
        <w:gridCol w:w="5083"/>
        <w:gridCol w:w="5083"/>
      </w:tblGrid>
      <w:tr w:rsidR="008A0BF7" w14:paraId="47D86C38" w14:textId="77777777">
        <w:trPr>
          <w:cantSplit/>
          <w:tblHeader/>
          <w:jc w:val="center"/>
        </w:trPr>
        <w:tc>
          <w:tcPr>
            <w:tcW w:w="5083" w:type="dxa"/>
            <w:tcBorders>
              <w:top w:val="single" w:sz="5" w:space="0" w:color="3E2B8F"/>
              <w:left w:val="single" w:sz="5" w:space="0" w:color="3E2B8F"/>
              <w:bottom w:val="single" w:sz="5" w:space="0" w:color="3E2B8F"/>
              <w:right w:val="single" w:sz="5" w:space="0" w:color="3E2B8F"/>
            </w:tcBorders>
            <w:shd w:val="clear" w:color="auto" w:fill="3E2B8F"/>
            <w:tcMar>
              <w:top w:w="90" w:type="dxa"/>
              <w:left w:w="110" w:type="dxa"/>
              <w:bottom w:w="90" w:type="dxa"/>
              <w:right w:w="110" w:type="dxa"/>
            </w:tcMar>
          </w:tcPr>
          <w:p w14:paraId="5EB6DB8D" w14:textId="77777777" w:rsidR="008A0BF7" w:rsidRDefault="00D00288">
            <w:pPr>
              <w:rPr>
                <w:rFonts w:hint="eastAsia"/>
              </w:rPr>
            </w:pPr>
            <w:r>
              <w:rPr>
                <w:rFonts w:eastAsia="Aptos"/>
                <w:b/>
                <w:color w:val="FFFFFF"/>
                <w:sz w:val="18"/>
              </w:rPr>
              <w:t>Area</w:t>
            </w:r>
          </w:p>
        </w:tc>
        <w:tc>
          <w:tcPr>
            <w:tcW w:w="5083" w:type="dxa"/>
            <w:tcBorders>
              <w:top w:val="single" w:sz="5" w:space="0" w:color="3E2B8F"/>
              <w:left w:val="single" w:sz="5" w:space="0" w:color="3E2B8F"/>
              <w:bottom w:val="single" w:sz="5" w:space="0" w:color="3E2B8F"/>
              <w:right w:val="single" w:sz="5" w:space="0" w:color="3E2B8F"/>
            </w:tcBorders>
            <w:shd w:val="clear" w:color="auto" w:fill="3E2B8F"/>
            <w:tcMar>
              <w:top w:w="90" w:type="dxa"/>
              <w:left w:w="110" w:type="dxa"/>
              <w:bottom w:w="90" w:type="dxa"/>
              <w:right w:w="110" w:type="dxa"/>
            </w:tcMar>
          </w:tcPr>
          <w:p w14:paraId="2811A44A" w14:textId="77777777" w:rsidR="008A0BF7" w:rsidRDefault="00D00288">
            <w:pPr>
              <w:rPr>
                <w:rFonts w:hint="eastAsia"/>
              </w:rPr>
            </w:pPr>
            <w:r>
              <w:rPr>
                <w:rFonts w:eastAsia="Aptos"/>
                <w:b/>
                <w:color w:val="FFFFFF"/>
                <w:sz w:val="18"/>
              </w:rPr>
              <w:t>Manuden arrangement</w:t>
            </w:r>
          </w:p>
        </w:tc>
      </w:tr>
      <w:tr w:rsidR="008A0BF7" w14:paraId="3F18E8E9"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8"/>
            <w:tcMar>
              <w:top w:w="90" w:type="dxa"/>
              <w:left w:w="110" w:type="dxa"/>
              <w:bottom w:w="90" w:type="dxa"/>
              <w:right w:w="110" w:type="dxa"/>
            </w:tcMar>
            <w:vAlign w:val="center"/>
          </w:tcPr>
          <w:p w14:paraId="54BC892B" w14:textId="77777777" w:rsidR="008A0BF7" w:rsidRDefault="00D00288">
            <w:pPr>
              <w:rPr>
                <w:rFonts w:hint="eastAsia"/>
              </w:rPr>
            </w:pPr>
            <w:r>
              <w:rPr>
                <w:rFonts w:eastAsia="Aptos"/>
                <w:b/>
                <w:sz w:val="18"/>
              </w:rPr>
              <w:t>Allergy Safety Lead</w:t>
            </w:r>
          </w:p>
        </w:tc>
        <w:tc>
          <w:tcPr>
            <w:tcW w:w="5083" w:type="dxa"/>
            <w:tcBorders>
              <w:top w:val="single" w:sz="5" w:space="0" w:color="D8DCE3"/>
              <w:left w:val="single" w:sz="5" w:space="0" w:color="D8DCE3"/>
              <w:bottom w:val="single" w:sz="5" w:space="0" w:color="D8DCE3"/>
              <w:right w:val="single" w:sz="5" w:space="0" w:color="D8DCE3"/>
            </w:tcBorders>
            <w:tcMar>
              <w:top w:w="90" w:type="dxa"/>
              <w:left w:w="110" w:type="dxa"/>
              <w:bottom w:w="90" w:type="dxa"/>
              <w:right w:w="110" w:type="dxa"/>
            </w:tcMar>
            <w:vAlign w:val="center"/>
          </w:tcPr>
          <w:p w14:paraId="5FE714E1" w14:textId="77777777" w:rsidR="008A0BF7" w:rsidRDefault="00D00288">
            <w:pPr>
              <w:rPr>
                <w:rFonts w:hint="eastAsia"/>
              </w:rPr>
            </w:pPr>
            <w:r>
              <w:rPr>
                <w:rFonts w:eastAsia="Aptos"/>
                <w:sz w:val="18"/>
              </w:rPr>
              <w:t>Phil Molyneux – Headteacher</w:t>
            </w:r>
          </w:p>
        </w:tc>
      </w:tr>
      <w:tr w:rsidR="008A0BF7" w14:paraId="4469DBCE"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8"/>
            <w:tcMar>
              <w:top w:w="90" w:type="dxa"/>
              <w:left w:w="110" w:type="dxa"/>
              <w:bottom w:w="90" w:type="dxa"/>
              <w:right w:w="110" w:type="dxa"/>
            </w:tcMar>
            <w:vAlign w:val="center"/>
          </w:tcPr>
          <w:p w14:paraId="39ABFF12" w14:textId="77777777" w:rsidR="008A0BF7" w:rsidRDefault="00D00288">
            <w:pPr>
              <w:rPr>
                <w:rFonts w:hint="eastAsia"/>
              </w:rPr>
            </w:pPr>
            <w:r>
              <w:rPr>
                <w:rFonts w:eastAsia="Aptos"/>
                <w:b/>
                <w:sz w:val="18"/>
              </w:rPr>
              <w:t>Central allergy register</w:t>
            </w:r>
          </w:p>
        </w:tc>
        <w:tc>
          <w:tcPr>
            <w:tcW w:w="5083" w:type="dxa"/>
            <w:tcBorders>
              <w:top w:val="single" w:sz="5" w:space="0" w:color="D8DCE3"/>
              <w:left w:val="single" w:sz="5" w:space="0" w:color="D8DCE3"/>
              <w:bottom w:val="single" w:sz="5" w:space="0" w:color="D8DCE3"/>
              <w:right w:val="single" w:sz="5" w:space="0" w:color="D8DCE3"/>
            </w:tcBorders>
            <w:tcMar>
              <w:top w:w="90" w:type="dxa"/>
              <w:left w:w="110" w:type="dxa"/>
              <w:bottom w:w="90" w:type="dxa"/>
              <w:right w:w="110" w:type="dxa"/>
            </w:tcMar>
            <w:vAlign w:val="center"/>
          </w:tcPr>
          <w:p w14:paraId="166539DF" w14:textId="77777777" w:rsidR="008A0BF7" w:rsidRDefault="00D00288">
            <w:pPr>
              <w:rPr>
                <w:rFonts w:hint="eastAsia"/>
              </w:rPr>
            </w:pPr>
            <w:r>
              <w:rPr>
                <w:rFonts w:eastAsia="Aptos"/>
                <w:sz w:val="18"/>
              </w:rPr>
              <w:t>Maintained by the Headteacher and Lizzie Grant (School Business Manager).</w:t>
            </w:r>
          </w:p>
        </w:tc>
      </w:tr>
      <w:tr w:rsidR="008A0BF7" w14:paraId="7395CB8C"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8"/>
            <w:tcMar>
              <w:top w:w="90" w:type="dxa"/>
              <w:left w:w="110" w:type="dxa"/>
              <w:bottom w:w="90" w:type="dxa"/>
              <w:right w:w="110" w:type="dxa"/>
            </w:tcMar>
            <w:vAlign w:val="center"/>
          </w:tcPr>
          <w:p w14:paraId="2C2245BA" w14:textId="77777777" w:rsidR="008A0BF7" w:rsidRDefault="00D00288">
            <w:pPr>
              <w:rPr>
                <w:rFonts w:hint="eastAsia"/>
              </w:rPr>
            </w:pPr>
            <w:r>
              <w:rPr>
                <w:rFonts w:eastAsia="Aptos"/>
                <w:b/>
                <w:sz w:val="18"/>
              </w:rPr>
              <w:t>Pupil-specific arrangements</w:t>
            </w:r>
          </w:p>
        </w:tc>
        <w:tc>
          <w:tcPr>
            <w:tcW w:w="5083" w:type="dxa"/>
            <w:tcBorders>
              <w:top w:val="single" w:sz="5" w:space="0" w:color="D8DCE3"/>
              <w:left w:val="single" w:sz="5" w:space="0" w:color="D8DCE3"/>
              <w:bottom w:val="single" w:sz="5" w:space="0" w:color="D8DCE3"/>
              <w:right w:val="single" w:sz="5" w:space="0" w:color="D8DCE3"/>
            </w:tcBorders>
            <w:tcMar>
              <w:top w:w="90" w:type="dxa"/>
              <w:left w:w="110" w:type="dxa"/>
              <w:bottom w:w="90" w:type="dxa"/>
              <w:right w:w="110" w:type="dxa"/>
            </w:tcMar>
            <w:vAlign w:val="center"/>
          </w:tcPr>
          <w:p w14:paraId="39D9CCE2" w14:textId="77777777" w:rsidR="008A0BF7" w:rsidRDefault="00D00288">
            <w:pPr>
              <w:rPr>
                <w:rFonts w:hint="eastAsia"/>
              </w:rPr>
            </w:pPr>
            <w:r>
              <w:rPr>
                <w:rFonts w:eastAsia="Aptos"/>
                <w:sz w:val="18"/>
              </w:rPr>
              <w:t>Class teachers oversee day-to-day arrangements for pupils in their class, supported by the Headteacher/office and relevant staff.</w:t>
            </w:r>
          </w:p>
        </w:tc>
      </w:tr>
      <w:tr w:rsidR="008A0BF7" w14:paraId="2FF45057"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8"/>
            <w:tcMar>
              <w:top w:w="90" w:type="dxa"/>
              <w:left w:w="110" w:type="dxa"/>
              <w:bottom w:w="90" w:type="dxa"/>
              <w:right w:w="110" w:type="dxa"/>
            </w:tcMar>
            <w:vAlign w:val="center"/>
          </w:tcPr>
          <w:p w14:paraId="54AEA4B5" w14:textId="77777777" w:rsidR="008A0BF7" w:rsidRDefault="00D00288">
            <w:pPr>
              <w:rPr>
                <w:rFonts w:hint="eastAsia"/>
              </w:rPr>
            </w:pPr>
            <w:r>
              <w:rPr>
                <w:rFonts w:eastAsia="Aptos"/>
                <w:b/>
                <w:sz w:val="18"/>
              </w:rPr>
              <w:t>Prescribed AAIs</w:t>
            </w:r>
          </w:p>
        </w:tc>
        <w:tc>
          <w:tcPr>
            <w:tcW w:w="5083" w:type="dxa"/>
            <w:tcBorders>
              <w:top w:val="single" w:sz="5" w:space="0" w:color="D8DCE3"/>
              <w:left w:val="single" w:sz="5" w:space="0" w:color="D8DCE3"/>
              <w:bottom w:val="single" w:sz="5" w:space="0" w:color="D8DCE3"/>
              <w:right w:val="single" w:sz="5" w:space="0" w:color="D8DCE3"/>
            </w:tcBorders>
            <w:tcMar>
              <w:top w:w="90" w:type="dxa"/>
              <w:left w:w="110" w:type="dxa"/>
              <w:bottom w:w="90" w:type="dxa"/>
              <w:right w:w="110" w:type="dxa"/>
            </w:tcMar>
            <w:vAlign w:val="center"/>
          </w:tcPr>
          <w:p w14:paraId="4AF18E7E" w14:textId="77777777" w:rsidR="008A0BF7" w:rsidRDefault="00D00288">
            <w:pPr>
              <w:rPr>
                <w:rFonts w:hint="eastAsia"/>
              </w:rPr>
            </w:pPr>
            <w:r>
              <w:rPr>
                <w:rFonts w:eastAsia="Aptos"/>
                <w:sz w:val="18"/>
              </w:rPr>
              <w:t xml:space="preserve">For pupils who do not self-carry, prescribed adrenaline devices and the Allergy Action Plan are kept </w:t>
            </w:r>
            <w:r>
              <w:rPr>
                <w:rFonts w:eastAsia="Aptos"/>
                <w:sz w:val="18"/>
              </w:rPr>
              <w:t>together in a clearly labelled, unlocked emergency medication pack in the pupil’s classroom. Access must remain possible within five minutes wherever the pupil is on site.</w:t>
            </w:r>
          </w:p>
        </w:tc>
      </w:tr>
      <w:tr w:rsidR="008A0BF7" w14:paraId="0E0B2839"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8"/>
            <w:tcMar>
              <w:top w:w="90" w:type="dxa"/>
              <w:left w:w="110" w:type="dxa"/>
              <w:bottom w:w="90" w:type="dxa"/>
              <w:right w:w="110" w:type="dxa"/>
            </w:tcMar>
            <w:vAlign w:val="center"/>
          </w:tcPr>
          <w:p w14:paraId="4ABAE7E8" w14:textId="77777777" w:rsidR="008A0BF7" w:rsidRDefault="00D00288">
            <w:pPr>
              <w:rPr>
                <w:rFonts w:hint="eastAsia"/>
              </w:rPr>
            </w:pPr>
            <w:r>
              <w:rPr>
                <w:rFonts w:eastAsia="Aptos"/>
                <w:b/>
                <w:sz w:val="18"/>
              </w:rPr>
              <w:t>Spare AAIs</w:t>
            </w:r>
          </w:p>
        </w:tc>
        <w:tc>
          <w:tcPr>
            <w:tcW w:w="5083" w:type="dxa"/>
            <w:tcBorders>
              <w:top w:val="single" w:sz="5" w:space="0" w:color="D8DCE3"/>
              <w:left w:val="single" w:sz="5" w:space="0" w:color="D8DCE3"/>
              <w:bottom w:val="single" w:sz="5" w:space="0" w:color="D8DCE3"/>
              <w:right w:val="single" w:sz="5" w:space="0" w:color="D8DCE3"/>
            </w:tcBorders>
            <w:tcMar>
              <w:top w:w="90" w:type="dxa"/>
              <w:left w:w="110" w:type="dxa"/>
              <w:bottom w:w="90" w:type="dxa"/>
              <w:right w:w="110" w:type="dxa"/>
            </w:tcMar>
            <w:vAlign w:val="center"/>
          </w:tcPr>
          <w:p w14:paraId="7F5F8200" w14:textId="77777777" w:rsidR="008A0BF7" w:rsidRDefault="00D00288">
            <w:pPr>
              <w:rPr>
                <w:rFonts w:hint="eastAsia"/>
              </w:rPr>
            </w:pPr>
            <w:r>
              <w:rPr>
                <w:rFonts w:eastAsia="Aptos"/>
                <w:sz w:val="18"/>
              </w:rPr>
              <w:t>Stored in pairs in a clearly marked emergency anaphylaxis kit in the STAFF ROOM. The kit is not locked away, is stored at room temperature and is accessible to staff at all times.</w:t>
            </w:r>
          </w:p>
        </w:tc>
      </w:tr>
      <w:tr w:rsidR="008A0BF7" w14:paraId="217537D8"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8"/>
            <w:tcMar>
              <w:top w:w="90" w:type="dxa"/>
              <w:left w:w="110" w:type="dxa"/>
              <w:bottom w:w="90" w:type="dxa"/>
              <w:right w:w="110" w:type="dxa"/>
            </w:tcMar>
            <w:vAlign w:val="center"/>
          </w:tcPr>
          <w:p w14:paraId="5D12CDAD" w14:textId="77777777" w:rsidR="008A0BF7" w:rsidRDefault="00D00288">
            <w:pPr>
              <w:rPr>
                <w:rFonts w:hint="eastAsia"/>
              </w:rPr>
            </w:pPr>
            <w:r>
              <w:rPr>
                <w:rFonts w:eastAsia="Aptos"/>
                <w:b/>
                <w:sz w:val="18"/>
              </w:rPr>
              <w:t>Spare AAI doses</w:t>
            </w:r>
          </w:p>
        </w:tc>
        <w:tc>
          <w:tcPr>
            <w:tcW w:w="5083" w:type="dxa"/>
            <w:tcBorders>
              <w:top w:val="single" w:sz="5" w:space="0" w:color="D8DCE3"/>
              <w:left w:val="single" w:sz="5" w:space="0" w:color="D8DCE3"/>
              <w:bottom w:val="single" w:sz="5" w:space="0" w:color="D8DCE3"/>
              <w:right w:val="single" w:sz="5" w:space="0" w:color="D8DCE3"/>
            </w:tcBorders>
            <w:tcMar>
              <w:top w:w="90" w:type="dxa"/>
              <w:left w:w="110" w:type="dxa"/>
              <w:bottom w:w="90" w:type="dxa"/>
              <w:right w:w="110" w:type="dxa"/>
            </w:tcMar>
            <w:vAlign w:val="center"/>
          </w:tcPr>
          <w:p w14:paraId="35693DD0" w14:textId="77777777" w:rsidR="008A0BF7" w:rsidRDefault="00D00288">
            <w:pPr>
              <w:rPr>
                <w:rFonts w:hint="eastAsia"/>
              </w:rPr>
            </w:pPr>
            <w:r>
              <w:rPr>
                <w:rFonts w:eastAsia="Aptos"/>
                <w:sz w:val="18"/>
              </w:rPr>
              <w:t>The school will hold a pair of 150 microgram AAIs and a pair of 300 microgram AAIs, in line with current national guidance for primary schools, unless updated national guidance requires otherwise.</w:t>
            </w:r>
          </w:p>
        </w:tc>
      </w:tr>
      <w:tr w:rsidR="008A0BF7" w14:paraId="3C2C1529"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8"/>
            <w:tcMar>
              <w:top w:w="90" w:type="dxa"/>
              <w:left w:w="110" w:type="dxa"/>
              <w:bottom w:w="90" w:type="dxa"/>
              <w:right w:w="110" w:type="dxa"/>
            </w:tcMar>
            <w:vAlign w:val="center"/>
          </w:tcPr>
          <w:p w14:paraId="28EC26CC" w14:textId="77777777" w:rsidR="008A0BF7" w:rsidRDefault="00D00288">
            <w:pPr>
              <w:rPr>
                <w:rFonts w:hint="eastAsia"/>
              </w:rPr>
            </w:pPr>
            <w:r>
              <w:rPr>
                <w:rFonts w:eastAsia="Aptos"/>
                <w:b/>
                <w:sz w:val="18"/>
              </w:rPr>
              <w:t>Catering</w:t>
            </w:r>
          </w:p>
        </w:tc>
        <w:tc>
          <w:tcPr>
            <w:tcW w:w="5083" w:type="dxa"/>
            <w:tcBorders>
              <w:top w:val="single" w:sz="5" w:space="0" w:color="D8DCE3"/>
              <w:left w:val="single" w:sz="5" w:space="0" w:color="D8DCE3"/>
              <w:bottom w:val="single" w:sz="5" w:space="0" w:color="D8DCE3"/>
              <w:right w:val="single" w:sz="5" w:space="0" w:color="D8DCE3"/>
            </w:tcBorders>
            <w:tcMar>
              <w:top w:w="90" w:type="dxa"/>
              <w:left w:w="110" w:type="dxa"/>
              <w:bottom w:w="90" w:type="dxa"/>
              <w:right w:w="110" w:type="dxa"/>
            </w:tcMar>
            <w:vAlign w:val="center"/>
          </w:tcPr>
          <w:p w14:paraId="069924F9" w14:textId="77777777" w:rsidR="008A0BF7" w:rsidRDefault="00D00288">
            <w:pPr>
              <w:rPr>
                <w:rFonts w:hint="eastAsia"/>
              </w:rPr>
            </w:pPr>
            <w:r>
              <w:rPr>
                <w:rFonts w:eastAsia="Aptos"/>
                <w:sz w:val="18"/>
              </w:rPr>
              <w:t>School-employed cooks receive allergy awareness and food-allergen training and work from up-to-date pupil allergy information and ingredient/allergen information.</w:t>
            </w:r>
          </w:p>
        </w:tc>
      </w:tr>
      <w:tr w:rsidR="008A0BF7" w14:paraId="69B1D3C4"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8"/>
            <w:tcMar>
              <w:top w:w="90" w:type="dxa"/>
              <w:left w:w="110" w:type="dxa"/>
              <w:bottom w:w="90" w:type="dxa"/>
              <w:right w:w="110" w:type="dxa"/>
            </w:tcMar>
            <w:vAlign w:val="center"/>
          </w:tcPr>
          <w:p w14:paraId="0234A249" w14:textId="77777777" w:rsidR="008A0BF7" w:rsidRDefault="00D00288">
            <w:pPr>
              <w:rPr>
                <w:rFonts w:hint="eastAsia"/>
              </w:rPr>
            </w:pPr>
            <w:r>
              <w:rPr>
                <w:rFonts w:eastAsia="Aptos"/>
                <w:b/>
                <w:sz w:val="18"/>
              </w:rPr>
              <w:t>Incident recording</w:t>
            </w:r>
          </w:p>
        </w:tc>
        <w:tc>
          <w:tcPr>
            <w:tcW w:w="5083" w:type="dxa"/>
            <w:tcBorders>
              <w:top w:val="single" w:sz="5" w:space="0" w:color="D8DCE3"/>
              <w:left w:val="single" w:sz="5" w:space="0" w:color="D8DCE3"/>
              <w:bottom w:val="single" w:sz="5" w:space="0" w:color="D8DCE3"/>
              <w:right w:val="single" w:sz="5" w:space="0" w:color="D8DCE3"/>
            </w:tcBorders>
            <w:tcMar>
              <w:top w:w="90" w:type="dxa"/>
              <w:left w:w="110" w:type="dxa"/>
              <w:bottom w:w="90" w:type="dxa"/>
              <w:right w:w="110" w:type="dxa"/>
            </w:tcMar>
            <w:vAlign w:val="center"/>
          </w:tcPr>
          <w:p w14:paraId="38427C93" w14:textId="77777777" w:rsidR="008A0BF7" w:rsidRDefault="00D00288">
            <w:pPr>
              <w:rPr>
                <w:rFonts w:hint="eastAsia"/>
              </w:rPr>
            </w:pPr>
            <w:r>
              <w:rPr>
                <w:rFonts w:eastAsia="Aptos"/>
                <w:sz w:val="18"/>
              </w:rPr>
              <w:t>Serious allergy incidents and near misses are recorded, including on CPOMS where they concern a pupil, and are reviewed for learning.</w:t>
            </w:r>
          </w:p>
        </w:tc>
      </w:tr>
    </w:tbl>
    <w:p w14:paraId="6615F82B" w14:textId="77777777" w:rsidR="008A0BF7" w:rsidRDefault="00D00288">
      <w:pPr>
        <w:pStyle w:val="ManudenAlert"/>
        <w:rPr>
          <w:rFonts w:hint="eastAsia"/>
        </w:rPr>
      </w:pPr>
      <w:r>
        <w:t>ANAPHYLAXIS IS A MEDICAL EMERGENCY: give adrenaline immediately, call 999 and say “ANAPHYLAXIS”. If in doubt, give adrenaline. Do not allow the person to stand or walk.</w:t>
      </w:r>
    </w:p>
    <w:p w14:paraId="73DE6E06" w14:textId="77777777" w:rsidR="008A0BF7" w:rsidRDefault="00D00288" w:rsidP="00D00288">
      <w:pPr>
        <w:pStyle w:val="Heading1"/>
        <w:jc w:val="both"/>
      </w:pPr>
      <w:r>
        <w:t>1. Purpose and Statutory Status</w:t>
      </w:r>
    </w:p>
    <w:p w14:paraId="372FC54E" w14:textId="77777777" w:rsidR="008A0BF7" w:rsidRDefault="00D00288" w:rsidP="00D00288">
      <w:pPr>
        <w:jc w:val="both"/>
        <w:rPr>
          <w:rFonts w:hint="eastAsia"/>
        </w:rPr>
      </w:pPr>
      <w:r>
        <w:t>Manuden Primary School is committed to ensuring that pupils with allergies are safe, included and able to participate fully in school life. Allergy can be unpredictable and anaphylaxis can be rapidly life-threatening. The school therefore combines sensible prevention, individual planning, staff training and a robust emergency response.</w:t>
      </w:r>
    </w:p>
    <w:p w14:paraId="3EB1152E" w14:textId="77777777" w:rsidR="008A0BF7" w:rsidRDefault="00D00288" w:rsidP="00D00288">
      <w:pPr>
        <w:jc w:val="both"/>
        <w:rPr>
          <w:rFonts w:hint="eastAsia"/>
        </w:rPr>
      </w:pPr>
      <w:r>
        <w:t>Section 34 of the Children’s Wellbeing and Schools Act 2026 amended the Children and Families Act 2014 to require maintained schools to have an allergy safety policy, review it at least annually, publicise it and publish it on the school website. The Governing Body must have regard to the Department for Education statutory guidance Allergy safety in schools (July 2026).</w:t>
      </w:r>
    </w:p>
    <w:p w14:paraId="2A86695E" w14:textId="77777777" w:rsidR="008A0BF7" w:rsidRDefault="00D00288" w:rsidP="00D00288">
      <w:pPr>
        <w:jc w:val="both"/>
        <w:rPr>
          <w:rFonts w:hint="eastAsia"/>
        </w:rPr>
      </w:pPr>
      <w:r>
        <w:lastRenderedPageBreak/>
        <w:t xml:space="preserve">This policy does not replace an individual pupil’s medical advice, IHP, Allergy Action Plan or Asthma Action Plan. Where there is any conflict, current clinical advice and emergency instructions specific to the pupil take </w:t>
      </w:r>
      <w:r>
        <w:t>priority, alongside current statutory guidance.</w:t>
      </w:r>
    </w:p>
    <w:p w14:paraId="018504F5" w14:textId="77777777" w:rsidR="008A0BF7" w:rsidRDefault="00D00288" w:rsidP="00D00288">
      <w:pPr>
        <w:pStyle w:val="Heading1"/>
        <w:jc w:val="both"/>
      </w:pPr>
      <w:r>
        <w:t>2. Legal Framework and Guidance</w:t>
      </w:r>
    </w:p>
    <w:p w14:paraId="671BDB41" w14:textId="77777777" w:rsidR="008A0BF7" w:rsidRDefault="00D00288" w:rsidP="00D00288">
      <w:pPr>
        <w:jc w:val="both"/>
        <w:rPr>
          <w:rFonts w:hint="eastAsia"/>
        </w:rPr>
      </w:pPr>
      <w:r>
        <w:t>This policy has been prepared with regard to:</w:t>
      </w:r>
    </w:p>
    <w:p w14:paraId="32B74BEB" w14:textId="77777777" w:rsidR="008A0BF7" w:rsidRDefault="00D00288" w:rsidP="00D00288">
      <w:pPr>
        <w:pStyle w:val="ListBullet"/>
        <w:jc w:val="both"/>
        <w:rPr>
          <w:rFonts w:hint="eastAsia"/>
        </w:rPr>
      </w:pPr>
      <w:hyperlink r:id="rId9">
        <w:r>
          <w:rPr>
            <w:color w:val="2F5597"/>
            <w:u w:val="single"/>
          </w:rPr>
          <w:t>DfE: Allergy safety in schools – statutory guidance (July 2026)</w:t>
        </w:r>
      </w:hyperlink>
    </w:p>
    <w:p w14:paraId="3CE84C9D" w14:textId="77777777" w:rsidR="008A0BF7" w:rsidRDefault="00D00288" w:rsidP="00D00288">
      <w:pPr>
        <w:pStyle w:val="ListBullet"/>
        <w:jc w:val="both"/>
        <w:rPr>
          <w:rFonts w:hint="eastAsia"/>
        </w:rPr>
      </w:pPr>
      <w:hyperlink r:id="rId10">
        <w:r>
          <w:rPr>
            <w:color w:val="2F5597"/>
            <w:u w:val="single"/>
          </w:rPr>
          <w:t>Children and Families Act 2014 – section 100, as amended</w:t>
        </w:r>
      </w:hyperlink>
    </w:p>
    <w:p w14:paraId="36CFFF7F" w14:textId="77777777" w:rsidR="008A0BF7" w:rsidRDefault="00D00288" w:rsidP="00D00288">
      <w:pPr>
        <w:pStyle w:val="ListBullet"/>
        <w:jc w:val="both"/>
        <w:rPr>
          <w:rFonts w:hint="eastAsia"/>
        </w:rPr>
      </w:pPr>
      <w:hyperlink r:id="rId11">
        <w:r>
          <w:rPr>
            <w:color w:val="2F5597"/>
            <w:u w:val="single"/>
          </w:rPr>
          <w:t>Children’s Wellbeing and Schools Act 2026 – allergy safety provisions</w:t>
        </w:r>
      </w:hyperlink>
    </w:p>
    <w:p w14:paraId="64898A85" w14:textId="77777777" w:rsidR="008A0BF7" w:rsidRDefault="00D00288" w:rsidP="00D00288">
      <w:pPr>
        <w:pStyle w:val="ListBullet"/>
        <w:jc w:val="both"/>
        <w:rPr>
          <w:rFonts w:hint="eastAsia"/>
        </w:rPr>
      </w:pPr>
      <w:hyperlink r:id="rId12">
        <w:r>
          <w:rPr>
            <w:color w:val="2F5597"/>
            <w:u w:val="single"/>
          </w:rPr>
          <w:t>DfE: Supporting pupils with medical conditions at school – statutory guidance</w:t>
        </w:r>
      </w:hyperlink>
    </w:p>
    <w:p w14:paraId="0B93F2ED" w14:textId="77777777" w:rsidR="008A0BF7" w:rsidRDefault="00D00288" w:rsidP="00D00288">
      <w:pPr>
        <w:pStyle w:val="ListBullet"/>
        <w:jc w:val="both"/>
        <w:rPr>
          <w:rFonts w:hint="eastAsia"/>
        </w:rPr>
      </w:pPr>
      <w:hyperlink r:id="rId13">
        <w:r>
          <w:rPr>
            <w:color w:val="2F5597"/>
            <w:u w:val="single"/>
          </w:rPr>
          <w:t>DHSC: Using emergency adrenaline auto-injectors in schools</w:t>
        </w:r>
      </w:hyperlink>
    </w:p>
    <w:p w14:paraId="45DB2312" w14:textId="77777777" w:rsidR="008A0BF7" w:rsidRDefault="00D00288" w:rsidP="00D00288">
      <w:pPr>
        <w:pStyle w:val="ListBullet"/>
        <w:jc w:val="both"/>
        <w:rPr>
          <w:rFonts w:hint="eastAsia"/>
        </w:rPr>
      </w:pPr>
      <w:hyperlink r:id="rId14">
        <w:r>
          <w:rPr>
            <w:color w:val="2F5597"/>
            <w:u w:val="single"/>
          </w:rPr>
          <w:t>Human Medicines Regulations 2012, as amended</w:t>
        </w:r>
      </w:hyperlink>
    </w:p>
    <w:p w14:paraId="02DD537E" w14:textId="77777777" w:rsidR="008A0BF7" w:rsidRDefault="00D00288" w:rsidP="00D00288">
      <w:pPr>
        <w:pStyle w:val="ListBullet"/>
        <w:jc w:val="both"/>
        <w:rPr>
          <w:rFonts w:hint="eastAsia"/>
        </w:rPr>
      </w:pPr>
      <w:hyperlink r:id="rId15">
        <w:r>
          <w:rPr>
            <w:color w:val="2F5597"/>
            <w:u w:val="single"/>
          </w:rPr>
          <w:t>Equality Act 2010</w:t>
        </w:r>
      </w:hyperlink>
    </w:p>
    <w:p w14:paraId="7FD8B61A" w14:textId="77777777" w:rsidR="008A0BF7" w:rsidRDefault="00D00288" w:rsidP="00D00288">
      <w:pPr>
        <w:pStyle w:val="ListBullet"/>
        <w:jc w:val="both"/>
        <w:rPr>
          <w:rFonts w:hint="eastAsia"/>
        </w:rPr>
      </w:pPr>
      <w:hyperlink r:id="rId16">
        <w:r>
          <w:rPr>
            <w:color w:val="2F5597"/>
            <w:u w:val="single"/>
          </w:rPr>
          <w:t>DfE: School food standards and allergy guidance for schools</w:t>
        </w:r>
      </w:hyperlink>
    </w:p>
    <w:p w14:paraId="37CEFF88" w14:textId="77777777" w:rsidR="008A0BF7" w:rsidRDefault="00D00288" w:rsidP="00D00288">
      <w:pPr>
        <w:pStyle w:val="ListBullet"/>
        <w:jc w:val="both"/>
        <w:rPr>
          <w:rFonts w:hint="eastAsia"/>
        </w:rPr>
      </w:pPr>
      <w:hyperlink r:id="rId17">
        <w:r>
          <w:rPr>
            <w:color w:val="2F5597"/>
            <w:u w:val="single"/>
          </w:rPr>
          <w:t>Food Standards Agency: allergen guidance for food businesses</w:t>
        </w:r>
      </w:hyperlink>
    </w:p>
    <w:p w14:paraId="1B2DC72C" w14:textId="77777777" w:rsidR="008A0BF7" w:rsidRDefault="00D00288" w:rsidP="00D00288">
      <w:pPr>
        <w:pStyle w:val="ListBullet"/>
        <w:jc w:val="both"/>
        <w:rPr>
          <w:rFonts w:hint="eastAsia"/>
        </w:rPr>
      </w:pPr>
      <w:hyperlink r:id="rId18">
        <w:r>
          <w:rPr>
            <w:color w:val="2F5597"/>
            <w:u w:val="single"/>
          </w:rPr>
          <w:t>Keeping Children Safe in Education 2026</w:t>
        </w:r>
      </w:hyperlink>
    </w:p>
    <w:p w14:paraId="463E9064" w14:textId="77777777" w:rsidR="008A0BF7" w:rsidRDefault="00D00288" w:rsidP="00D00288">
      <w:pPr>
        <w:pStyle w:val="ListBullet"/>
        <w:jc w:val="both"/>
        <w:rPr>
          <w:rFonts w:hint="eastAsia"/>
        </w:rPr>
      </w:pPr>
      <w:hyperlink r:id="rId19">
        <w:r>
          <w:rPr>
            <w:color w:val="2F5597"/>
            <w:u w:val="single"/>
          </w:rPr>
          <w:t>Early Years Foundation Stage statutory framework</w:t>
        </w:r>
      </w:hyperlink>
    </w:p>
    <w:p w14:paraId="69362903" w14:textId="77777777" w:rsidR="008A0BF7" w:rsidRDefault="00D00288" w:rsidP="00D00288">
      <w:pPr>
        <w:pStyle w:val="Heading1"/>
        <w:jc w:val="both"/>
      </w:pPr>
      <w:r>
        <w:t>3. Understanding Allergy and Anaphylaxis</w:t>
      </w:r>
    </w:p>
    <w:p w14:paraId="5DD04C61" w14:textId="77777777" w:rsidR="008A0BF7" w:rsidRDefault="00D00288" w:rsidP="00D00288">
      <w:pPr>
        <w:jc w:val="both"/>
        <w:rPr>
          <w:rFonts w:hint="eastAsia"/>
        </w:rPr>
      </w:pPr>
      <w:r>
        <w:t>An allergy is an immune-system reaction to a substance that is normally harmless. Allergens may include foods, insect stings, medicines, latex/contact allergens and airborne allergens such as pollen or animal dander.</w:t>
      </w:r>
    </w:p>
    <w:p w14:paraId="1B0EFB7C" w14:textId="77777777" w:rsidR="008A0BF7" w:rsidRDefault="00D00288" w:rsidP="00D00288">
      <w:pPr>
        <w:jc w:val="both"/>
        <w:rPr>
          <w:rFonts w:hint="eastAsia"/>
        </w:rPr>
      </w:pPr>
      <w:r>
        <w:t>Anaphylaxis is a potentially fatal allergic reaction affecting the Airway, Breathing and/or Circulation (ABC). It can develop quickly and may occur without a rash or other skin symptoms. A first severe reaction may occur in a child who has no previous allergy diagnosis.</w:t>
      </w:r>
    </w:p>
    <w:p w14:paraId="28D27A26" w14:textId="77777777" w:rsidR="008A0BF7" w:rsidRDefault="00D00288" w:rsidP="00D00288">
      <w:pPr>
        <w:pStyle w:val="Heading2"/>
        <w:jc w:val="both"/>
      </w:pPr>
      <w:r>
        <w:t>Allergy, coeliac disease and food intolerance</w:t>
      </w:r>
    </w:p>
    <w:p w14:paraId="2DA4BCD4" w14:textId="77777777" w:rsidR="008A0BF7" w:rsidRDefault="00D00288" w:rsidP="00D00288">
      <w:pPr>
        <w:jc w:val="both"/>
        <w:rPr>
          <w:rFonts w:hint="eastAsia"/>
        </w:rPr>
      </w:pPr>
      <w:r>
        <w:t>Food allergy is different from food intolerance and coeliac disease. Food intolerance does not cause anaphylaxis. Coeliac disease is an autoimmune condition and is not an allergy. Manuden will support pupils with these conditions through appropriate medical/dietary arrangements, but they are not treated as anaphylaxis unless the pupil also has a diagnosed allergy.</w:t>
      </w:r>
    </w:p>
    <w:p w14:paraId="23ECCD43" w14:textId="77777777" w:rsidR="008A0BF7" w:rsidRDefault="00D00288" w:rsidP="00D00288">
      <w:pPr>
        <w:pStyle w:val="Heading2"/>
        <w:jc w:val="both"/>
      </w:pPr>
      <w:r>
        <w:t>Asthma and allergy</w:t>
      </w:r>
    </w:p>
    <w:p w14:paraId="4E8B3850" w14:textId="77777777" w:rsidR="008A0BF7" w:rsidRDefault="00D00288" w:rsidP="00D00288">
      <w:pPr>
        <w:jc w:val="both"/>
        <w:rPr>
          <w:rFonts w:hint="eastAsia"/>
        </w:rPr>
      </w:pPr>
      <w:r>
        <w:t>Asthma and allergy frequently co-exist. Sudden breathing difficulty in a pupil with food allergy must always raise concern about anaphylaxis. A reliever inhaler must never be used instead of adrenaline to treat anaphylaxis. Individual Asthma Action Plans and Allergy Action Plans will be followed.</w:t>
      </w:r>
    </w:p>
    <w:p w14:paraId="4DFC3F03" w14:textId="77777777" w:rsidR="008A0BF7" w:rsidRDefault="00D00288" w:rsidP="00D00288">
      <w:pPr>
        <w:pStyle w:val="Heading1"/>
        <w:jc w:val="both"/>
      </w:pPr>
      <w:r>
        <w:t>4. Leadership, Governance and Responsibilities</w:t>
      </w:r>
    </w:p>
    <w:p w14:paraId="610A29C8" w14:textId="77777777" w:rsidR="008A0BF7" w:rsidRDefault="00D00288" w:rsidP="00D00288">
      <w:pPr>
        <w:pStyle w:val="Heading2"/>
        <w:jc w:val="both"/>
      </w:pPr>
      <w:r>
        <w:t>Governing Body</w:t>
      </w:r>
    </w:p>
    <w:p w14:paraId="5DF1D9BC" w14:textId="77777777" w:rsidR="008A0BF7" w:rsidRDefault="00D00288" w:rsidP="00D00288">
      <w:pPr>
        <w:pStyle w:val="ListBullet"/>
        <w:jc w:val="both"/>
        <w:rPr>
          <w:rFonts w:hint="eastAsia"/>
        </w:rPr>
      </w:pPr>
      <w:r>
        <w:t>ensures the school has, publishes and reviews this statutory Allergy Safety Policy at least annually;</w:t>
      </w:r>
    </w:p>
    <w:p w14:paraId="223AF9B5" w14:textId="77777777" w:rsidR="008A0BF7" w:rsidRDefault="00D00288" w:rsidP="00D00288">
      <w:pPr>
        <w:pStyle w:val="ListBullet"/>
        <w:jc w:val="both"/>
        <w:rPr>
          <w:rFonts w:hint="eastAsia"/>
        </w:rPr>
      </w:pPr>
      <w:r>
        <w:t>ensures allergy-related risks are considered within the school’s risk-management arrangements;</w:t>
      </w:r>
    </w:p>
    <w:p w14:paraId="4B8A6A9F" w14:textId="77777777" w:rsidR="008A0BF7" w:rsidRDefault="00D00288" w:rsidP="00D00288">
      <w:pPr>
        <w:pStyle w:val="ListBullet"/>
        <w:jc w:val="both"/>
        <w:rPr>
          <w:rFonts w:hint="eastAsia"/>
        </w:rPr>
      </w:pPr>
      <w:r>
        <w:t>seeks assurance that staff training, individual plans, emergency medication and food-safety arrangements are effective;</w:t>
      </w:r>
    </w:p>
    <w:p w14:paraId="182935BF" w14:textId="77777777" w:rsidR="008A0BF7" w:rsidRDefault="00D00288" w:rsidP="00D00288">
      <w:pPr>
        <w:pStyle w:val="ListBullet"/>
        <w:jc w:val="both"/>
        <w:rPr>
          <w:rFonts w:hint="eastAsia"/>
        </w:rPr>
      </w:pPr>
      <w:r>
        <w:t>receives anonymised information about serious incidents and significant near misses and ensures lessons are acted upon.</w:t>
      </w:r>
    </w:p>
    <w:p w14:paraId="7FFFAE02" w14:textId="77777777" w:rsidR="008A0BF7" w:rsidRDefault="00D00288" w:rsidP="00D00288">
      <w:pPr>
        <w:pStyle w:val="Heading2"/>
        <w:jc w:val="both"/>
      </w:pPr>
      <w:r>
        <w:t>Headteacher / Allergy Safety Lead – Phil Molyneux</w:t>
      </w:r>
    </w:p>
    <w:p w14:paraId="0EC389D3" w14:textId="77777777" w:rsidR="008A0BF7" w:rsidRDefault="00D00288" w:rsidP="00D00288">
      <w:pPr>
        <w:pStyle w:val="ListBullet"/>
        <w:jc w:val="both"/>
        <w:rPr>
          <w:rFonts w:hint="eastAsia"/>
        </w:rPr>
      </w:pPr>
      <w:r>
        <w:t>leads implementation and review of this policy;</w:t>
      </w:r>
    </w:p>
    <w:p w14:paraId="7E8B2A4E" w14:textId="77777777" w:rsidR="008A0BF7" w:rsidRDefault="00D00288" w:rsidP="00D00288">
      <w:pPr>
        <w:pStyle w:val="ListBullet"/>
        <w:jc w:val="both"/>
        <w:rPr>
          <w:rFonts w:hint="eastAsia"/>
        </w:rPr>
      </w:pPr>
      <w:r>
        <w:lastRenderedPageBreak/>
        <w:t>ensures a current allergy register and appropriate IHPs/Action Plans are in place;</w:t>
      </w:r>
    </w:p>
    <w:p w14:paraId="3BE2FD8E" w14:textId="77777777" w:rsidR="008A0BF7" w:rsidRDefault="00D00288" w:rsidP="00D00288">
      <w:pPr>
        <w:pStyle w:val="ListBullet"/>
        <w:jc w:val="both"/>
        <w:rPr>
          <w:rFonts w:hint="eastAsia"/>
        </w:rPr>
      </w:pPr>
      <w:r>
        <w:t xml:space="preserve">ensures sufficient, in-date spare AAIs are available and </w:t>
      </w:r>
      <w:r>
        <w:t>accessible;</w:t>
      </w:r>
    </w:p>
    <w:p w14:paraId="0E25F6F2" w14:textId="77777777" w:rsidR="008A0BF7" w:rsidRDefault="00D00288" w:rsidP="00D00288">
      <w:pPr>
        <w:pStyle w:val="ListBullet"/>
        <w:jc w:val="both"/>
        <w:rPr>
          <w:rFonts w:hint="eastAsia"/>
        </w:rPr>
      </w:pPr>
      <w:r>
        <w:t>ensures staff training and induction arrangements are in place;</w:t>
      </w:r>
    </w:p>
    <w:p w14:paraId="617F6AE4" w14:textId="77777777" w:rsidR="008A0BF7" w:rsidRDefault="00D00288" w:rsidP="00D00288">
      <w:pPr>
        <w:pStyle w:val="ListBullet"/>
        <w:jc w:val="both"/>
        <w:rPr>
          <w:rFonts w:hint="eastAsia"/>
        </w:rPr>
      </w:pPr>
      <w:r>
        <w:t>works with catering staff, parents and healthcare professionals to reduce risk;</w:t>
      </w:r>
    </w:p>
    <w:p w14:paraId="7034A9E1" w14:textId="77777777" w:rsidR="008A0BF7" w:rsidRDefault="00D00288" w:rsidP="00D00288">
      <w:pPr>
        <w:pStyle w:val="ListBullet"/>
        <w:jc w:val="both"/>
        <w:rPr>
          <w:rFonts w:hint="eastAsia"/>
        </w:rPr>
      </w:pPr>
      <w:r>
        <w:t>oversees the review of incidents and near misses and reports appropriately to governors.</w:t>
      </w:r>
    </w:p>
    <w:p w14:paraId="2F662303" w14:textId="77777777" w:rsidR="008A0BF7" w:rsidRDefault="00D00288" w:rsidP="00D00288">
      <w:pPr>
        <w:pStyle w:val="Heading2"/>
        <w:jc w:val="both"/>
      </w:pPr>
      <w:r>
        <w:t>School Business Manager – Lizzie Grant</w:t>
      </w:r>
    </w:p>
    <w:p w14:paraId="7C59F0BE" w14:textId="77777777" w:rsidR="008A0BF7" w:rsidRDefault="00D00288" w:rsidP="00D00288">
      <w:pPr>
        <w:pStyle w:val="ListBullet"/>
        <w:jc w:val="both"/>
        <w:rPr>
          <w:rFonts w:hint="eastAsia"/>
        </w:rPr>
      </w:pPr>
      <w:r>
        <w:t>works with the Headteacher to maintain the central allergy register and relevant records;</w:t>
      </w:r>
    </w:p>
    <w:p w14:paraId="2175B43E" w14:textId="77777777" w:rsidR="008A0BF7" w:rsidRDefault="00D00288" w:rsidP="00D00288">
      <w:pPr>
        <w:pStyle w:val="ListBullet"/>
        <w:jc w:val="both"/>
        <w:rPr>
          <w:rFonts w:hint="eastAsia"/>
        </w:rPr>
      </w:pPr>
      <w:r>
        <w:t>supports checks of emergency medication expiry dates and replacement arrangements;</w:t>
      </w:r>
    </w:p>
    <w:p w14:paraId="3B9074E2" w14:textId="77777777" w:rsidR="008A0BF7" w:rsidRDefault="00D00288" w:rsidP="00D00288">
      <w:pPr>
        <w:pStyle w:val="ListBullet"/>
        <w:jc w:val="both"/>
        <w:rPr>
          <w:rFonts w:hint="eastAsia"/>
        </w:rPr>
      </w:pPr>
      <w:r>
        <w:t>ensures relevant information is shared with staff on a need-to-know basis and updated when families provide changes.</w:t>
      </w:r>
    </w:p>
    <w:p w14:paraId="2FE0CB15" w14:textId="77777777" w:rsidR="008A0BF7" w:rsidRDefault="00D00288" w:rsidP="00D00288">
      <w:pPr>
        <w:pStyle w:val="Heading2"/>
        <w:jc w:val="both"/>
      </w:pPr>
      <w:r>
        <w:t>Class teachers and staff</w:t>
      </w:r>
    </w:p>
    <w:p w14:paraId="5DDBBB52" w14:textId="77777777" w:rsidR="008A0BF7" w:rsidRDefault="00D00288" w:rsidP="00D00288">
      <w:pPr>
        <w:pStyle w:val="ListBullet"/>
        <w:jc w:val="both"/>
        <w:rPr>
          <w:rFonts w:hint="eastAsia"/>
        </w:rPr>
      </w:pPr>
      <w:r>
        <w:t>know which pupils in their care have allergies and where their emergency medication and Action Plan are located;</w:t>
      </w:r>
    </w:p>
    <w:p w14:paraId="51AE18B2" w14:textId="77777777" w:rsidR="008A0BF7" w:rsidRDefault="00D00288" w:rsidP="00D00288">
      <w:pPr>
        <w:pStyle w:val="ListBullet"/>
        <w:jc w:val="both"/>
        <w:rPr>
          <w:rFonts w:hint="eastAsia"/>
        </w:rPr>
      </w:pPr>
      <w:r>
        <w:t>follow IHPs, Action Plans and reasonable adjustments;</w:t>
      </w:r>
    </w:p>
    <w:p w14:paraId="1EF651B0" w14:textId="77777777" w:rsidR="008A0BF7" w:rsidRDefault="00D00288" w:rsidP="00D00288">
      <w:pPr>
        <w:pStyle w:val="ListBullet"/>
        <w:jc w:val="both"/>
        <w:rPr>
          <w:rFonts w:hint="eastAsia"/>
        </w:rPr>
      </w:pPr>
      <w:r>
        <w:t>consider allergens when planning lessons, cooking, craft, science, animal contact, celebrations, rewards and trips;</w:t>
      </w:r>
    </w:p>
    <w:p w14:paraId="6AA88B6D" w14:textId="77777777" w:rsidR="008A0BF7" w:rsidRDefault="00D00288" w:rsidP="00D00288">
      <w:pPr>
        <w:pStyle w:val="ListBullet"/>
        <w:jc w:val="both"/>
        <w:rPr>
          <w:rFonts w:hint="eastAsia"/>
        </w:rPr>
      </w:pPr>
      <w:r>
        <w:t>ensure prescribed adrenaline remains rapidly accessible during changes of location and off-site activities;</w:t>
      </w:r>
    </w:p>
    <w:p w14:paraId="5EF9C12B" w14:textId="77777777" w:rsidR="008A0BF7" w:rsidRDefault="00D00288" w:rsidP="00D00288">
      <w:pPr>
        <w:pStyle w:val="ListBullet"/>
        <w:jc w:val="both"/>
        <w:rPr>
          <w:rFonts w:hint="eastAsia"/>
        </w:rPr>
      </w:pPr>
      <w:r>
        <w:t>act immediately if an allergic reaction is suspected and report incidents/near misses.</w:t>
      </w:r>
    </w:p>
    <w:p w14:paraId="2E747007" w14:textId="77777777" w:rsidR="008A0BF7" w:rsidRDefault="00D00288" w:rsidP="00D00288">
      <w:pPr>
        <w:pStyle w:val="Heading2"/>
        <w:jc w:val="both"/>
      </w:pPr>
      <w:r>
        <w:t>Catering staff</w:t>
      </w:r>
    </w:p>
    <w:p w14:paraId="43FA9B7A" w14:textId="77777777" w:rsidR="008A0BF7" w:rsidRDefault="00D00288" w:rsidP="00D00288">
      <w:pPr>
        <w:pStyle w:val="ListBullet"/>
        <w:jc w:val="both"/>
        <w:rPr>
          <w:rFonts w:hint="eastAsia"/>
        </w:rPr>
      </w:pPr>
      <w:r>
        <w:t>complete appropriate allergy and food-allergen training;</w:t>
      </w:r>
    </w:p>
    <w:p w14:paraId="002B767C" w14:textId="77777777" w:rsidR="008A0BF7" w:rsidRDefault="00D00288" w:rsidP="00D00288">
      <w:pPr>
        <w:pStyle w:val="ListBullet"/>
        <w:jc w:val="both"/>
        <w:rPr>
          <w:rFonts w:hint="eastAsia"/>
        </w:rPr>
      </w:pPr>
      <w:r>
        <w:t>maintain accurate ingredient and allergen information for food served;</w:t>
      </w:r>
    </w:p>
    <w:p w14:paraId="1E6D1A63" w14:textId="77777777" w:rsidR="008A0BF7" w:rsidRDefault="00D00288" w:rsidP="00D00288">
      <w:pPr>
        <w:pStyle w:val="ListBullet"/>
        <w:jc w:val="both"/>
        <w:rPr>
          <w:rFonts w:hint="eastAsia"/>
        </w:rPr>
      </w:pPr>
      <w:r>
        <w:t>follow procedures to prevent avoidable cross-contact and unsafe substitutions;</w:t>
      </w:r>
    </w:p>
    <w:p w14:paraId="5A9A094D" w14:textId="77777777" w:rsidR="008A0BF7" w:rsidRDefault="00D00288" w:rsidP="00D00288">
      <w:pPr>
        <w:pStyle w:val="ListBullet"/>
        <w:jc w:val="both"/>
        <w:rPr>
          <w:rFonts w:hint="eastAsia"/>
        </w:rPr>
      </w:pPr>
      <w:r>
        <w:t>use the school’s current allergy information to identify pupils requiring an adapted meal;</w:t>
      </w:r>
    </w:p>
    <w:p w14:paraId="6263C62F" w14:textId="77777777" w:rsidR="008A0BF7" w:rsidRDefault="00D00288" w:rsidP="00D00288">
      <w:pPr>
        <w:pStyle w:val="ListBullet"/>
        <w:jc w:val="both"/>
        <w:rPr>
          <w:rFonts w:hint="eastAsia"/>
        </w:rPr>
      </w:pPr>
      <w:r>
        <w:t>never guess whether a meal is safe: where allergen information cannot be confirmed, the food will not be served to the pupil concerned.</w:t>
      </w:r>
    </w:p>
    <w:p w14:paraId="28B6D28A" w14:textId="77777777" w:rsidR="008A0BF7" w:rsidRDefault="00D00288" w:rsidP="00D00288">
      <w:pPr>
        <w:pStyle w:val="Heading2"/>
        <w:jc w:val="both"/>
      </w:pPr>
      <w:r>
        <w:t>Parents and carers</w:t>
      </w:r>
    </w:p>
    <w:p w14:paraId="08B7CD54" w14:textId="77777777" w:rsidR="008A0BF7" w:rsidRDefault="00D00288" w:rsidP="00D00288">
      <w:pPr>
        <w:pStyle w:val="ListBullet"/>
        <w:jc w:val="both"/>
        <w:rPr>
          <w:rFonts w:hint="eastAsia"/>
        </w:rPr>
      </w:pPr>
      <w:r>
        <w:t>provide accurate and up-to-date medical information and inform school promptly of changes;</w:t>
      </w:r>
    </w:p>
    <w:p w14:paraId="0E4CD727" w14:textId="77777777" w:rsidR="008A0BF7" w:rsidRDefault="00D00288" w:rsidP="00D00288">
      <w:pPr>
        <w:pStyle w:val="ListBullet"/>
        <w:jc w:val="both"/>
        <w:rPr>
          <w:rFonts w:hint="eastAsia"/>
        </w:rPr>
      </w:pPr>
      <w:r>
        <w:t>provide prescribed medicines/devices and current Allergy/Asthma Action Plans where issued;</w:t>
      </w:r>
    </w:p>
    <w:p w14:paraId="34E69928" w14:textId="77777777" w:rsidR="008A0BF7" w:rsidRDefault="00D00288" w:rsidP="00D00288">
      <w:pPr>
        <w:pStyle w:val="ListBullet"/>
        <w:jc w:val="both"/>
        <w:rPr>
          <w:rFonts w:hint="eastAsia"/>
        </w:rPr>
      </w:pPr>
      <w:r>
        <w:t xml:space="preserve">ensure prescribed devices are in date and replaced before </w:t>
      </w:r>
      <w:r>
        <w:t>expiry;</w:t>
      </w:r>
    </w:p>
    <w:p w14:paraId="0D8E70E5" w14:textId="77777777" w:rsidR="008A0BF7" w:rsidRDefault="00D00288" w:rsidP="00D00288">
      <w:pPr>
        <w:pStyle w:val="ListBullet"/>
        <w:jc w:val="both"/>
        <w:rPr>
          <w:rFonts w:hint="eastAsia"/>
        </w:rPr>
      </w:pPr>
      <w:r>
        <w:t>work with the school on the pupil’s IHP and reasonable adjustments.</w:t>
      </w:r>
    </w:p>
    <w:p w14:paraId="2C8DC11B" w14:textId="77777777" w:rsidR="008A0BF7" w:rsidRDefault="00D00288" w:rsidP="00D00288">
      <w:pPr>
        <w:pStyle w:val="Heading2"/>
        <w:jc w:val="both"/>
      </w:pPr>
      <w:r>
        <w:t>Pupils</w:t>
      </w:r>
    </w:p>
    <w:p w14:paraId="55360053" w14:textId="77777777" w:rsidR="008A0BF7" w:rsidRDefault="00D00288" w:rsidP="00D00288">
      <w:pPr>
        <w:jc w:val="both"/>
        <w:rPr>
          <w:rFonts w:hint="eastAsia"/>
        </w:rPr>
      </w:pPr>
      <w:r>
        <w:t>Pupils will be supported, according to age and understanding, to know their allergens, recognise symptoms, seek help promptly and take increasing responsibility for carrying or locating medication where appropriate. Pupils will never be expected to manage a life-threatening allergy without adult support.</w:t>
      </w:r>
    </w:p>
    <w:p w14:paraId="13B74FFD" w14:textId="77777777" w:rsidR="008A0BF7" w:rsidRDefault="00D00288" w:rsidP="00D00288">
      <w:pPr>
        <w:pStyle w:val="Heading1"/>
        <w:jc w:val="both"/>
      </w:pPr>
      <w:r>
        <w:t>5. Identification, Allergy Register and Information</w:t>
      </w:r>
    </w:p>
    <w:p w14:paraId="7A845C99" w14:textId="77777777" w:rsidR="008A0BF7" w:rsidRDefault="00D00288" w:rsidP="00D00288">
      <w:pPr>
        <w:jc w:val="both"/>
        <w:rPr>
          <w:rFonts w:hint="eastAsia"/>
        </w:rPr>
      </w:pPr>
      <w:r>
        <w:t xml:space="preserve">The school gathers allergy information at admission, when a new </w:t>
      </w:r>
      <w:r>
        <w:t>allergy is identified, when pupils transfer between settings/classes and whenever parents or healthcare professionals provide updated information.</w:t>
      </w:r>
    </w:p>
    <w:p w14:paraId="42E1428F" w14:textId="77777777" w:rsidR="008A0BF7" w:rsidRDefault="00D00288" w:rsidP="00D00288">
      <w:pPr>
        <w:jc w:val="both"/>
        <w:rPr>
          <w:rFonts w:hint="eastAsia"/>
        </w:rPr>
      </w:pPr>
      <w:r>
        <w:t>The Headteacher and Lizzie Grant maintain a central record of pupils with known allergies. The record will include, as appropriate:</w:t>
      </w:r>
    </w:p>
    <w:p w14:paraId="56C32DDB" w14:textId="77777777" w:rsidR="008A0BF7" w:rsidRDefault="00D00288" w:rsidP="00D00288">
      <w:pPr>
        <w:pStyle w:val="ListBullet"/>
        <w:jc w:val="both"/>
        <w:rPr>
          <w:rFonts w:hint="eastAsia"/>
        </w:rPr>
      </w:pPr>
      <w:r>
        <w:t>known allergen(s) and likely route of exposure;</w:t>
      </w:r>
    </w:p>
    <w:p w14:paraId="18C31675" w14:textId="77777777" w:rsidR="008A0BF7" w:rsidRDefault="00D00288" w:rsidP="00D00288">
      <w:pPr>
        <w:pStyle w:val="ListBullet"/>
        <w:jc w:val="both"/>
        <w:rPr>
          <w:rFonts w:hint="eastAsia"/>
        </w:rPr>
      </w:pPr>
      <w:r>
        <w:t>symptoms and level of risk, including risk of anaphylaxis;</w:t>
      </w:r>
    </w:p>
    <w:p w14:paraId="0F414F90" w14:textId="77777777" w:rsidR="008A0BF7" w:rsidRDefault="00D00288" w:rsidP="00D00288">
      <w:pPr>
        <w:pStyle w:val="ListBullet"/>
        <w:jc w:val="both"/>
        <w:rPr>
          <w:rFonts w:hint="eastAsia"/>
        </w:rPr>
      </w:pPr>
      <w:r>
        <w:t>whether the pupil also has asthma;</w:t>
      </w:r>
    </w:p>
    <w:p w14:paraId="5795FE9C" w14:textId="77777777" w:rsidR="008A0BF7" w:rsidRDefault="00D00288" w:rsidP="00D00288">
      <w:pPr>
        <w:pStyle w:val="ListBullet"/>
        <w:jc w:val="both"/>
        <w:rPr>
          <w:rFonts w:hint="eastAsia"/>
        </w:rPr>
      </w:pPr>
      <w:r>
        <w:t>prescribed emergency medication and its location;</w:t>
      </w:r>
    </w:p>
    <w:p w14:paraId="30558276" w14:textId="77777777" w:rsidR="008A0BF7" w:rsidRDefault="00D00288" w:rsidP="00D00288">
      <w:pPr>
        <w:pStyle w:val="ListBullet"/>
        <w:jc w:val="both"/>
        <w:rPr>
          <w:rFonts w:hint="eastAsia"/>
        </w:rPr>
      </w:pPr>
      <w:r>
        <w:lastRenderedPageBreak/>
        <w:t>whether an IHP and Allergy/Asthma Action Plan are in place;</w:t>
      </w:r>
    </w:p>
    <w:p w14:paraId="5B7AAFE6" w14:textId="77777777" w:rsidR="008A0BF7" w:rsidRDefault="00D00288" w:rsidP="00D00288">
      <w:pPr>
        <w:pStyle w:val="ListBullet"/>
        <w:jc w:val="both"/>
        <w:rPr>
          <w:rFonts w:hint="eastAsia"/>
        </w:rPr>
      </w:pPr>
      <w:r>
        <w:t>emergency contact information and relevant healthcare advice.</w:t>
      </w:r>
    </w:p>
    <w:p w14:paraId="0CBAEBE4" w14:textId="77777777" w:rsidR="008A0BF7" w:rsidRDefault="00D00288" w:rsidP="00D00288">
      <w:pPr>
        <w:jc w:val="both"/>
        <w:rPr>
          <w:rFonts w:hint="eastAsia"/>
        </w:rPr>
      </w:pPr>
      <w:r>
        <w:t>Information is shared only with those who need it to keep the pupil safe and included. Relevant class, lunchtime, catering, club and visit staff must know the arrangements for pupils in their care.</w:t>
      </w:r>
    </w:p>
    <w:p w14:paraId="79F83B6D" w14:textId="77777777" w:rsidR="008A0BF7" w:rsidRDefault="00D00288" w:rsidP="00D00288">
      <w:pPr>
        <w:pStyle w:val="Heading1"/>
        <w:jc w:val="both"/>
      </w:pPr>
      <w:r>
        <w:t>6. Individual Healthcare Plans and Action Plans</w:t>
      </w:r>
    </w:p>
    <w:p w14:paraId="430CCE3E" w14:textId="77777777" w:rsidR="008A0BF7" w:rsidRDefault="00D00288" w:rsidP="00D00288">
      <w:pPr>
        <w:jc w:val="both"/>
        <w:rPr>
          <w:rFonts w:hint="eastAsia"/>
        </w:rPr>
      </w:pPr>
      <w:r>
        <w:t>A pupil will have an Individual Healthcare Plan where their allergy has a functional impact at school, places them at risk of harm and requires arrangements additional to or different from those generally available. The IHP will be developed with the pupil and parents/carers and will take account of healthcare advice.</w:t>
      </w:r>
    </w:p>
    <w:p w14:paraId="5D50EDEC" w14:textId="77777777" w:rsidR="008A0BF7" w:rsidRDefault="00D00288" w:rsidP="00D00288">
      <w:pPr>
        <w:jc w:val="both"/>
        <w:rPr>
          <w:rFonts w:hint="eastAsia"/>
        </w:rPr>
      </w:pPr>
      <w:r>
        <w:t>Where a healthcare professional has issued an Allergy Action Plan and/or Asthma Action Plan, it will be attached to or explicitly referenced by the IHP. Plans will be reviewed at least annually, and earlier when there is a change in diagnosis, treatment, risk, school circumstances or following a relevant incident or near miss.</w:t>
      </w:r>
    </w:p>
    <w:p w14:paraId="04C468EE" w14:textId="77777777" w:rsidR="008A0BF7" w:rsidRDefault="00D00288" w:rsidP="00D00288">
      <w:pPr>
        <w:jc w:val="both"/>
        <w:rPr>
          <w:rFonts w:hint="eastAsia"/>
        </w:rPr>
      </w:pPr>
      <w:r>
        <w:t>IHPs may cover:</w:t>
      </w:r>
    </w:p>
    <w:p w14:paraId="7DFA1F0A" w14:textId="77777777" w:rsidR="008A0BF7" w:rsidRDefault="00D00288" w:rsidP="00D00288">
      <w:pPr>
        <w:pStyle w:val="ListBullet"/>
        <w:jc w:val="both"/>
        <w:rPr>
          <w:rFonts w:hint="eastAsia"/>
        </w:rPr>
      </w:pPr>
      <w:r>
        <w:t>allergens and symptoms;</w:t>
      </w:r>
    </w:p>
    <w:p w14:paraId="7F85C5C1" w14:textId="77777777" w:rsidR="008A0BF7" w:rsidRDefault="00D00288" w:rsidP="00D00288">
      <w:pPr>
        <w:pStyle w:val="ListBullet"/>
        <w:jc w:val="both"/>
        <w:rPr>
          <w:rFonts w:hint="eastAsia"/>
        </w:rPr>
      </w:pPr>
      <w:r>
        <w:t>measures to reduce exposure;</w:t>
      </w:r>
    </w:p>
    <w:p w14:paraId="4A007885" w14:textId="77777777" w:rsidR="008A0BF7" w:rsidRDefault="00D00288" w:rsidP="00D00288">
      <w:pPr>
        <w:pStyle w:val="ListBullet"/>
        <w:jc w:val="both"/>
        <w:rPr>
          <w:rFonts w:hint="eastAsia"/>
        </w:rPr>
      </w:pPr>
      <w:r>
        <w:t>reasonable adjustments;</w:t>
      </w:r>
    </w:p>
    <w:p w14:paraId="0F1C6674" w14:textId="77777777" w:rsidR="008A0BF7" w:rsidRDefault="00D00288" w:rsidP="00D00288">
      <w:pPr>
        <w:pStyle w:val="ListBullet"/>
        <w:jc w:val="both"/>
        <w:rPr>
          <w:rFonts w:hint="eastAsia"/>
        </w:rPr>
      </w:pPr>
      <w:r>
        <w:t>mealtime and food arrangements;</w:t>
      </w:r>
    </w:p>
    <w:p w14:paraId="4F932557" w14:textId="77777777" w:rsidR="008A0BF7" w:rsidRDefault="00D00288" w:rsidP="00D00288">
      <w:pPr>
        <w:pStyle w:val="ListBullet"/>
        <w:jc w:val="both"/>
        <w:rPr>
          <w:rFonts w:hint="eastAsia"/>
        </w:rPr>
      </w:pPr>
      <w:r>
        <w:t>medication, dosage and storage;</w:t>
      </w:r>
    </w:p>
    <w:p w14:paraId="5B0C5318" w14:textId="77777777" w:rsidR="008A0BF7" w:rsidRDefault="00D00288" w:rsidP="00D00288">
      <w:pPr>
        <w:pStyle w:val="ListBullet"/>
        <w:jc w:val="both"/>
        <w:rPr>
          <w:rFonts w:hint="eastAsia"/>
        </w:rPr>
      </w:pPr>
      <w:r>
        <w:t>self-carry/self-administration arrangements where appropriate;</w:t>
      </w:r>
    </w:p>
    <w:p w14:paraId="02DCAD6B" w14:textId="77777777" w:rsidR="008A0BF7" w:rsidRDefault="00D00288" w:rsidP="00D00288">
      <w:pPr>
        <w:pStyle w:val="ListBullet"/>
        <w:jc w:val="both"/>
        <w:rPr>
          <w:rFonts w:hint="eastAsia"/>
        </w:rPr>
      </w:pPr>
      <w:r>
        <w:t>emergency response;</w:t>
      </w:r>
    </w:p>
    <w:p w14:paraId="66F59259" w14:textId="77777777" w:rsidR="008A0BF7" w:rsidRDefault="00D00288" w:rsidP="00D00288">
      <w:pPr>
        <w:pStyle w:val="ListBullet"/>
        <w:jc w:val="both"/>
        <w:rPr>
          <w:rFonts w:hint="eastAsia"/>
        </w:rPr>
      </w:pPr>
      <w:r>
        <w:t>PE, clubs, trips, transport and transition arrangements;</w:t>
      </w:r>
    </w:p>
    <w:p w14:paraId="75FC4E2D" w14:textId="77777777" w:rsidR="008A0BF7" w:rsidRDefault="00D00288" w:rsidP="00D00288">
      <w:pPr>
        <w:pStyle w:val="ListBullet"/>
        <w:jc w:val="both"/>
        <w:rPr>
          <w:rFonts w:hint="eastAsia"/>
        </w:rPr>
      </w:pPr>
      <w:r>
        <w:t>who needs to know the information and how it will be shared.</w:t>
      </w:r>
    </w:p>
    <w:p w14:paraId="6B501020" w14:textId="77777777" w:rsidR="008A0BF7" w:rsidRDefault="00D00288" w:rsidP="00D00288">
      <w:pPr>
        <w:pStyle w:val="Heading1"/>
        <w:jc w:val="both"/>
      </w:pPr>
      <w:r>
        <w:t>7. Allergy Awareness and Emergency Response Training</w:t>
      </w:r>
    </w:p>
    <w:p w14:paraId="79879E86" w14:textId="77777777" w:rsidR="008A0BF7" w:rsidRDefault="00D00288" w:rsidP="00D00288">
      <w:pPr>
        <w:jc w:val="both"/>
        <w:rPr>
          <w:rFonts w:hint="eastAsia"/>
        </w:rPr>
      </w:pPr>
      <w:r>
        <w:t>All staff present during times when pupils are scheduled to be on site will receive allergy awareness and emergency-response training at least annually. This includes permanent staff, temporary/supply staff, agency workers, regular volunteers, catering staff and staff supervising breakfast or after-school provision.</w:t>
      </w:r>
    </w:p>
    <w:p w14:paraId="62D9611B" w14:textId="77777777" w:rsidR="008A0BF7" w:rsidRDefault="00D00288" w:rsidP="00D00288">
      <w:pPr>
        <w:jc w:val="both"/>
        <w:rPr>
          <w:rFonts w:hint="eastAsia"/>
        </w:rPr>
      </w:pPr>
      <w:r>
        <w:t>New staff will receive the relevant information as part of induction. Supply/cover staff must receive a practical briefing on local arrangements before taking responsibility for pupils.</w:t>
      </w:r>
    </w:p>
    <w:p w14:paraId="486F2E56" w14:textId="77777777" w:rsidR="008A0BF7" w:rsidRDefault="00D00288" w:rsidP="00D00288">
      <w:pPr>
        <w:jc w:val="both"/>
        <w:rPr>
          <w:rFonts w:hint="eastAsia"/>
        </w:rPr>
      </w:pPr>
      <w:r>
        <w:t>Training will cover:</w:t>
      </w:r>
    </w:p>
    <w:p w14:paraId="6C5177CD" w14:textId="77777777" w:rsidR="008A0BF7" w:rsidRDefault="00D00288" w:rsidP="00D00288">
      <w:pPr>
        <w:pStyle w:val="ListBullet"/>
        <w:jc w:val="both"/>
        <w:rPr>
          <w:rFonts w:hint="eastAsia"/>
        </w:rPr>
      </w:pPr>
      <w:r>
        <w:t>what allergy is and the difference between allergy, coeliac disease and intolerance;</w:t>
      </w:r>
    </w:p>
    <w:p w14:paraId="0C6DD628" w14:textId="77777777" w:rsidR="008A0BF7" w:rsidRDefault="00D00288" w:rsidP="00D00288">
      <w:pPr>
        <w:pStyle w:val="ListBullet"/>
        <w:jc w:val="both"/>
        <w:rPr>
          <w:rFonts w:hint="eastAsia"/>
        </w:rPr>
      </w:pPr>
      <w:r>
        <w:t>common allergens and how exposure can occur;</w:t>
      </w:r>
    </w:p>
    <w:p w14:paraId="6CBD788C" w14:textId="77777777" w:rsidR="008A0BF7" w:rsidRDefault="00D00288" w:rsidP="00D00288">
      <w:pPr>
        <w:pStyle w:val="ListBullet"/>
        <w:jc w:val="both"/>
        <w:rPr>
          <w:rFonts w:hint="eastAsia"/>
        </w:rPr>
      </w:pPr>
      <w:r>
        <w:t>recognition of mild/moderate allergic reactions and anaphylaxis;</w:t>
      </w:r>
    </w:p>
    <w:p w14:paraId="3BC67FA8" w14:textId="77777777" w:rsidR="008A0BF7" w:rsidRDefault="00D00288" w:rsidP="00D00288">
      <w:pPr>
        <w:pStyle w:val="ListBullet"/>
        <w:jc w:val="both"/>
        <w:rPr>
          <w:rFonts w:hint="eastAsia"/>
        </w:rPr>
      </w:pPr>
      <w:r>
        <w:t>acute asthma in the context of allergy;</w:t>
      </w:r>
    </w:p>
    <w:p w14:paraId="491C1FFB" w14:textId="77777777" w:rsidR="008A0BF7" w:rsidRDefault="00D00288" w:rsidP="00D00288">
      <w:pPr>
        <w:pStyle w:val="ListBullet"/>
        <w:jc w:val="both"/>
        <w:rPr>
          <w:rFonts w:hint="eastAsia"/>
        </w:rPr>
      </w:pPr>
      <w:r>
        <w:t>where pupil-specific information and emergency medication are kept;</w:t>
      </w:r>
    </w:p>
    <w:p w14:paraId="5703B2C1" w14:textId="77777777" w:rsidR="008A0BF7" w:rsidRDefault="00D00288" w:rsidP="00D00288">
      <w:pPr>
        <w:pStyle w:val="ListBullet"/>
        <w:jc w:val="both"/>
        <w:rPr>
          <w:rFonts w:hint="eastAsia"/>
        </w:rPr>
      </w:pPr>
      <w:r>
        <w:t>how to follow Allergy and Asthma Action Plans;</w:t>
      </w:r>
    </w:p>
    <w:p w14:paraId="43ED7665" w14:textId="77777777" w:rsidR="008A0BF7" w:rsidRDefault="00D00288" w:rsidP="00D00288">
      <w:pPr>
        <w:pStyle w:val="ListBullet"/>
        <w:jc w:val="both"/>
        <w:rPr>
          <w:rFonts w:hint="eastAsia"/>
        </w:rPr>
      </w:pPr>
      <w:r>
        <w:t xml:space="preserve">how and when to administer an AAI, </w:t>
      </w:r>
      <w:r>
        <w:t>including the school’s spare devices;</w:t>
      </w:r>
    </w:p>
    <w:p w14:paraId="07E3EA32" w14:textId="77777777" w:rsidR="008A0BF7" w:rsidRDefault="00D00288" w:rsidP="00D00288">
      <w:pPr>
        <w:pStyle w:val="ListBullet"/>
        <w:jc w:val="both"/>
        <w:rPr>
          <w:rFonts w:hint="eastAsia"/>
        </w:rPr>
      </w:pPr>
      <w:r>
        <w:t>calling 999 and informing parents/carers;</w:t>
      </w:r>
    </w:p>
    <w:p w14:paraId="4D9C2A0C" w14:textId="77777777" w:rsidR="008A0BF7" w:rsidRDefault="00D00288" w:rsidP="00D00288">
      <w:pPr>
        <w:pStyle w:val="ListBullet"/>
        <w:jc w:val="both"/>
        <w:rPr>
          <w:rFonts w:hint="eastAsia"/>
        </w:rPr>
      </w:pPr>
      <w:r>
        <w:t>reducing exposure to known allergens;</w:t>
      </w:r>
    </w:p>
    <w:p w14:paraId="7B05FCCD" w14:textId="77777777" w:rsidR="008A0BF7" w:rsidRDefault="00D00288" w:rsidP="00D00288">
      <w:pPr>
        <w:pStyle w:val="ListBullet"/>
        <w:jc w:val="both"/>
        <w:rPr>
          <w:rFonts w:hint="eastAsia"/>
        </w:rPr>
      </w:pPr>
      <w:r>
        <w:t>reporting serious incidents and near misses.</w:t>
      </w:r>
    </w:p>
    <w:p w14:paraId="2FC03AA3" w14:textId="77777777" w:rsidR="008A0BF7" w:rsidRDefault="00D00288" w:rsidP="00D00288">
      <w:pPr>
        <w:pStyle w:val="ManudenNote"/>
        <w:jc w:val="both"/>
        <w:rPr>
          <w:rFonts w:hint="eastAsia"/>
        </w:rPr>
      </w:pPr>
      <w:r>
        <w:t>First-aid training alone is not a substitute for allergy awareness and emergency-response training.</w:t>
      </w:r>
    </w:p>
    <w:p w14:paraId="7C9643EC" w14:textId="77777777" w:rsidR="008A0BF7" w:rsidRDefault="00D00288" w:rsidP="00D00288">
      <w:pPr>
        <w:pStyle w:val="Heading1"/>
        <w:jc w:val="both"/>
      </w:pPr>
      <w:r>
        <w:lastRenderedPageBreak/>
        <w:t>8. Minimising Exposure to Allergens</w:t>
      </w:r>
    </w:p>
    <w:p w14:paraId="2BB8A43B" w14:textId="77777777" w:rsidR="008A0BF7" w:rsidRDefault="00D00288" w:rsidP="00D00288">
      <w:pPr>
        <w:jc w:val="both"/>
        <w:rPr>
          <w:rFonts w:hint="eastAsia"/>
        </w:rPr>
      </w:pPr>
      <w:r>
        <w:t>The school will take reasonable, proportionate steps to reduce exposure to known allergens without creating unnecessary exclusion or a false sense of security. Manuden is an allergy-aware school rather than claiming to be completely “allergen-free” or “nut-free”. Any food can cause an allergic reaction and risk must be managed actively.</w:t>
      </w:r>
    </w:p>
    <w:p w14:paraId="658129B2" w14:textId="77777777" w:rsidR="008A0BF7" w:rsidRDefault="00D00288" w:rsidP="00D00288">
      <w:pPr>
        <w:pStyle w:val="ListBullet"/>
        <w:jc w:val="both"/>
        <w:rPr>
          <w:rFonts w:hint="eastAsia"/>
        </w:rPr>
      </w:pPr>
      <w:r>
        <w:t>staff will consider allergies when planning lessons and activities involving food, cooking, craft materials, play materials, science, plants, animals, latex or other possible triggers;</w:t>
      </w:r>
    </w:p>
    <w:p w14:paraId="27298FB2" w14:textId="77777777" w:rsidR="008A0BF7" w:rsidRDefault="00D00288" w:rsidP="00D00288">
      <w:pPr>
        <w:pStyle w:val="ListBullet"/>
        <w:jc w:val="both"/>
        <w:rPr>
          <w:rFonts w:hint="eastAsia"/>
        </w:rPr>
      </w:pPr>
      <w:r>
        <w:t>food for classroom activities, celebrations or sharing will only be used where staff can establish appropriate allergen information and manage known risks;</w:t>
      </w:r>
    </w:p>
    <w:p w14:paraId="007A6713" w14:textId="77777777" w:rsidR="008A0BF7" w:rsidRDefault="00D00288" w:rsidP="00D00288">
      <w:pPr>
        <w:pStyle w:val="ListBullet"/>
        <w:jc w:val="both"/>
        <w:rPr>
          <w:rFonts w:hint="eastAsia"/>
        </w:rPr>
      </w:pPr>
      <w:r>
        <w:t>hand washing and cleaning of tables/equipment will be used where appropriate to reduce cross-contact;</w:t>
      </w:r>
    </w:p>
    <w:p w14:paraId="72D0FB59" w14:textId="77777777" w:rsidR="008A0BF7" w:rsidRDefault="00D00288" w:rsidP="00D00288">
      <w:pPr>
        <w:pStyle w:val="ListBullet"/>
        <w:jc w:val="both"/>
        <w:rPr>
          <w:rFonts w:hint="eastAsia"/>
        </w:rPr>
      </w:pPr>
      <w:r>
        <w:t>pupils will be discouraged from sharing food, drinks, cutlery or containers where this could create an allergy risk;</w:t>
      </w:r>
    </w:p>
    <w:p w14:paraId="56476F0E" w14:textId="77777777" w:rsidR="008A0BF7" w:rsidRDefault="00D00288" w:rsidP="00D00288">
      <w:pPr>
        <w:pStyle w:val="ListBullet"/>
        <w:jc w:val="both"/>
        <w:rPr>
          <w:rFonts w:hint="eastAsia"/>
        </w:rPr>
      </w:pPr>
      <w:r>
        <w:t xml:space="preserve">specific restrictions on foods or activities may be introduced where an </w:t>
      </w:r>
      <w:r>
        <w:t>individual risk assessment/IHP requires them;</w:t>
      </w:r>
    </w:p>
    <w:p w14:paraId="0D7C5CDB" w14:textId="77777777" w:rsidR="008A0BF7" w:rsidRDefault="00D00288" w:rsidP="00D00288">
      <w:pPr>
        <w:pStyle w:val="ListBullet"/>
        <w:jc w:val="both"/>
        <w:rPr>
          <w:rFonts w:hint="eastAsia"/>
        </w:rPr>
      </w:pPr>
      <w:r>
        <w:t>allergy-related reasonable adjustments will be made so pupils can participate with their peers wherever possible.</w:t>
      </w:r>
    </w:p>
    <w:p w14:paraId="7702FF31" w14:textId="77777777" w:rsidR="008A0BF7" w:rsidRDefault="00D00288" w:rsidP="00D00288">
      <w:pPr>
        <w:pStyle w:val="Heading1"/>
        <w:jc w:val="both"/>
      </w:pPr>
      <w:r>
        <w:t>9. Food and Catering</w:t>
      </w:r>
    </w:p>
    <w:p w14:paraId="4904FF80" w14:textId="77777777" w:rsidR="008A0BF7" w:rsidRDefault="00D00288" w:rsidP="00D00288">
      <w:pPr>
        <w:jc w:val="both"/>
        <w:rPr>
          <w:rFonts w:hint="eastAsia"/>
        </w:rPr>
      </w:pPr>
      <w:r>
        <w:t>The school will manage food allergy through clear allergen information, trained catering staff, safe preparation/service practices and reliable identification of pupils requiring adapted meals.</w:t>
      </w:r>
    </w:p>
    <w:p w14:paraId="5FCA9F59" w14:textId="77777777" w:rsidR="008A0BF7" w:rsidRDefault="00D00288" w:rsidP="00D00288">
      <w:pPr>
        <w:jc w:val="both"/>
        <w:rPr>
          <w:rFonts w:hint="eastAsia"/>
        </w:rPr>
      </w:pPr>
      <w:r>
        <w:t>For school-provided food:</w:t>
      </w:r>
    </w:p>
    <w:p w14:paraId="7B500EF7" w14:textId="77777777" w:rsidR="008A0BF7" w:rsidRDefault="00D00288" w:rsidP="00D00288">
      <w:pPr>
        <w:pStyle w:val="ListBullet"/>
        <w:jc w:val="both"/>
        <w:rPr>
          <w:rFonts w:hint="eastAsia"/>
        </w:rPr>
      </w:pPr>
      <w:r>
        <w:t>ingredient and allergen information will be available for food served, including the 14 allergens required by food law;</w:t>
      </w:r>
    </w:p>
    <w:p w14:paraId="495B20AD" w14:textId="77777777" w:rsidR="008A0BF7" w:rsidRDefault="00D00288" w:rsidP="00D00288">
      <w:pPr>
        <w:pStyle w:val="ListBullet"/>
        <w:jc w:val="both"/>
        <w:rPr>
          <w:rFonts w:hint="eastAsia"/>
        </w:rPr>
      </w:pPr>
      <w:r>
        <w:t>catering staff will manage recipes, substitutions and cross-contact risks and will highlight relevant changes;</w:t>
      </w:r>
    </w:p>
    <w:p w14:paraId="48016BEE" w14:textId="77777777" w:rsidR="008A0BF7" w:rsidRDefault="00D00288" w:rsidP="00D00288">
      <w:pPr>
        <w:pStyle w:val="ListBullet"/>
        <w:jc w:val="both"/>
        <w:rPr>
          <w:rFonts w:hint="eastAsia"/>
        </w:rPr>
      </w:pPr>
      <w:r>
        <w:t>prepacked-for-direct-sale food will be labelled in accordance with applicable allergen-labelling requirements;</w:t>
      </w:r>
    </w:p>
    <w:p w14:paraId="7996768E" w14:textId="77777777" w:rsidR="008A0BF7" w:rsidRDefault="00D00288" w:rsidP="00D00288">
      <w:pPr>
        <w:pStyle w:val="ListBullet"/>
        <w:jc w:val="both"/>
        <w:rPr>
          <w:rFonts w:hint="eastAsia"/>
        </w:rPr>
      </w:pPr>
      <w:r>
        <w:t>pupils with food allergies will be identified at mealtimes using at least two robust checks appropriate to the school, for example an up-to-date kitchen allergy list/photo record together with confirmation by the serving/class staff;</w:t>
      </w:r>
    </w:p>
    <w:p w14:paraId="1C4F1169" w14:textId="77777777" w:rsidR="008A0BF7" w:rsidRDefault="00D00288" w:rsidP="00D00288">
      <w:pPr>
        <w:pStyle w:val="ListBullet"/>
        <w:jc w:val="both"/>
        <w:rPr>
          <w:rFonts w:hint="eastAsia"/>
        </w:rPr>
      </w:pPr>
      <w:r>
        <w:t>pupils with allergies will not routinely be segregated from their peers at mealtimes;</w:t>
      </w:r>
    </w:p>
    <w:p w14:paraId="205BAB4F" w14:textId="77777777" w:rsidR="008A0BF7" w:rsidRDefault="00D00288" w:rsidP="00D00288">
      <w:pPr>
        <w:pStyle w:val="ListBullet"/>
        <w:jc w:val="both"/>
        <w:rPr>
          <w:rFonts w:hint="eastAsia"/>
        </w:rPr>
      </w:pPr>
      <w:r>
        <w:t>where a safe meal cannot be confirmed, it will not be served to the pupil and an alternative arrangement will be made.</w:t>
      </w:r>
    </w:p>
    <w:p w14:paraId="77C7B815" w14:textId="77777777" w:rsidR="008A0BF7" w:rsidRDefault="00D00288" w:rsidP="00D00288">
      <w:pPr>
        <w:jc w:val="both"/>
        <w:rPr>
          <w:rFonts w:hint="eastAsia"/>
        </w:rPr>
      </w:pPr>
      <w:r>
        <w:t>Packed lunches and food brought into school will be considered in risk assessments. The school may discourage or restrict particular foods where this is a reasonable and proportionate response to an identified risk. Parents will be informed where specific arrangements apply.</w:t>
      </w:r>
    </w:p>
    <w:p w14:paraId="43EDFB49" w14:textId="77777777" w:rsidR="008A0BF7" w:rsidRDefault="00D00288" w:rsidP="00D00288">
      <w:pPr>
        <w:pStyle w:val="Heading1"/>
        <w:jc w:val="both"/>
      </w:pPr>
      <w:r>
        <w:t>10. Prescribed Adrenaline and Other Emergency Medication</w:t>
      </w:r>
    </w:p>
    <w:p w14:paraId="1BCDEA86" w14:textId="77777777" w:rsidR="008A0BF7" w:rsidRDefault="00D00288" w:rsidP="00D00288">
      <w:pPr>
        <w:jc w:val="both"/>
        <w:rPr>
          <w:rFonts w:hint="eastAsia"/>
        </w:rPr>
      </w:pPr>
      <w:r>
        <w:t>Pupils at risk of anaphylaxis must have rapid access to their prescribed adrenaline devices at all times. Where prescribed, pupils should have access to both of their two prescribed devices. Decisions about self-carrying will be individual and recorded in the IHP.</w:t>
      </w:r>
    </w:p>
    <w:p w14:paraId="45AAE9B3" w14:textId="77777777" w:rsidR="008A0BF7" w:rsidRDefault="00D00288" w:rsidP="00D00288">
      <w:pPr>
        <w:pStyle w:val="Heading2"/>
        <w:jc w:val="both"/>
      </w:pPr>
      <w:r>
        <w:t>Manuden classroom arrangement</w:t>
      </w:r>
    </w:p>
    <w:p w14:paraId="48D45BC2" w14:textId="77777777" w:rsidR="008A0BF7" w:rsidRDefault="00D00288" w:rsidP="00D00288">
      <w:pPr>
        <w:jc w:val="both"/>
        <w:rPr>
          <w:rFonts w:hint="eastAsia"/>
        </w:rPr>
      </w:pPr>
      <w:r>
        <w:t>For pupils who do not self-carry, prescribed AAIs/adrenaline devices and the current Allergy Action Plan are kept together in a clearly labelled, unlocked emergency medication pack in the pupil’s classroom. The pack must be known to staff and immediately accessible.</w:t>
      </w:r>
    </w:p>
    <w:p w14:paraId="15D0F241" w14:textId="77777777" w:rsidR="008A0BF7" w:rsidRDefault="00D00288" w:rsidP="00D00288">
      <w:pPr>
        <w:jc w:val="both"/>
        <w:rPr>
          <w:rFonts w:hint="eastAsia"/>
        </w:rPr>
      </w:pPr>
      <w:r>
        <w:t xml:space="preserve">Classroom storage must never result in a delay. Staff must ensure that the pupil is no more than five minutes from adrenaline wherever they are on site, including the dining area, playground, field, hall and PE </w:t>
      </w:r>
      <w:r>
        <w:lastRenderedPageBreak/>
        <w:t>activities. Where the normal classroom location cannot meet this requirement, the pupil’s emergency pack will move with them or an alternative arrangement will be specified in the IHP.</w:t>
      </w:r>
    </w:p>
    <w:p w14:paraId="0BEA53C0" w14:textId="77777777" w:rsidR="008A0BF7" w:rsidRDefault="00D00288" w:rsidP="00D00288">
      <w:pPr>
        <w:jc w:val="both"/>
        <w:rPr>
          <w:rFonts w:hint="eastAsia"/>
        </w:rPr>
      </w:pPr>
      <w:r>
        <w:t>Emergency medication must accompany the pupil on off-site visits and activities. It will be kept at room temperature, protected from extreme heat/direct sunlight and never locked away.</w:t>
      </w:r>
    </w:p>
    <w:p w14:paraId="379B9FB4" w14:textId="77777777" w:rsidR="008A0BF7" w:rsidRDefault="00D00288" w:rsidP="00D00288">
      <w:pPr>
        <w:pStyle w:val="Heading1"/>
        <w:jc w:val="both"/>
      </w:pPr>
      <w:r>
        <w:t>11. School Spare Adrenaline Auto-Injectors (AAIs)</w:t>
      </w:r>
    </w:p>
    <w:p w14:paraId="684A83A5" w14:textId="77777777" w:rsidR="008A0BF7" w:rsidRDefault="00D00288" w:rsidP="00D00288">
      <w:pPr>
        <w:jc w:val="both"/>
        <w:rPr>
          <w:rFonts w:hint="eastAsia"/>
        </w:rPr>
      </w:pPr>
      <w:r>
        <w:t>Manuden Primary School will stock spare AAIs for emergency use in accordance with current national guidance. Spare devices supplement, and do not replace, a pupil’s own prescribed adrenaline.</w:t>
      </w:r>
    </w:p>
    <w:p w14:paraId="0DA9472F" w14:textId="77777777" w:rsidR="008A0BF7" w:rsidRDefault="00D00288" w:rsidP="00D00288">
      <w:pPr>
        <w:pStyle w:val="Heading2"/>
        <w:jc w:val="both"/>
      </w:pPr>
      <w:r>
        <w:t>Location and storage</w:t>
      </w:r>
    </w:p>
    <w:p w14:paraId="321C7B51" w14:textId="77777777" w:rsidR="008A0BF7" w:rsidRDefault="00D00288" w:rsidP="00D00288">
      <w:pPr>
        <w:pStyle w:val="ManudenAlert"/>
        <w:jc w:val="both"/>
        <w:rPr>
          <w:rFonts w:hint="eastAsia"/>
        </w:rPr>
      </w:pPr>
      <w:r>
        <w:t>SPARE AAIs ARE STORED IN THE STAFF ROOM – in a clearly marked emergency anaphylaxis kit. They are NOT locked away.</w:t>
      </w:r>
    </w:p>
    <w:p w14:paraId="09B39078" w14:textId="77777777" w:rsidR="008A0BF7" w:rsidRDefault="00D00288" w:rsidP="00D00288">
      <w:pPr>
        <w:pStyle w:val="ListBullet"/>
        <w:jc w:val="both"/>
        <w:rPr>
          <w:rFonts w:hint="eastAsia"/>
        </w:rPr>
      </w:pPr>
      <w:r>
        <w:t>spare AAIs will be stored in pairs;</w:t>
      </w:r>
    </w:p>
    <w:p w14:paraId="48BA0E5B" w14:textId="77777777" w:rsidR="008A0BF7" w:rsidRDefault="00D00288" w:rsidP="00D00288">
      <w:pPr>
        <w:pStyle w:val="ListBullet"/>
        <w:jc w:val="both"/>
        <w:rPr>
          <w:rFonts w:hint="eastAsia"/>
        </w:rPr>
      </w:pPr>
      <w:r>
        <w:t>for a primary-school population, the school will hold a pair of 150 microgram AAIs and a pair of 300 microgram AAIs in line with current national guidance;</w:t>
      </w:r>
    </w:p>
    <w:p w14:paraId="24C58CD5" w14:textId="77777777" w:rsidR="008A0BF7" w:rsidRDefault="00D00288" w:rsidP="00D00288">
      <w:pPr>
        <w:pStyle w:val="ListBullet"/>
        <w:jc w:val="both"/>
        <w:rPr>
          <w:rFonts w:hint="eastAsia"/>
        </w:rPr>
      </w:pPr>
      <w:r>
        <w:t>devices will be stored at room temperature, away from direct sunlight and extremes of heat;</w:t>
      </w:r>
    </w:p>
    <w:p w14:paraId="49B87DB4" w14:textId="77777777" w:rsidR="008A0BF7" w:rsidRDefault="00D00288" w:rsidP="00D00288">
      <w:pPr>
        <w:pStyle w:val="ListBullet"/>
        <w:jc w:val="both"/>
        <w:rPr>
          <w:rFonts w:hint="eastAsia"/>
        </w:rPr>
      </w:pPr>
      <w:r>
        <w:t>all staff will be shown the location during training/induction;</w:t>
      </w:r>
    </w:p>
    <w:p w14:paraId="45BB3051" w14:textId="77777777" w:rsidR="008A0BF7" w:rsidRDefault="00D00288" w:rsidP="00D00288">
      <w:pPr>
        <w:pStyle w:val="ListBullet"/>
        <w:jc w:val="both"/>
        <w:rPr>
          <w:rFonts w:hint="eastAsia"/>
        </w:rPr>
      </w:pPr>
      <w:r>
        <w:t>access to the staff room/kit must be available to staff whenever pupils are on site.</w:t>
      </w:r>
    </w:p>
    <w:p w14:paraId="393969AB" w14:textId="77777777" w:rsidR="008A0BF7" w:rsidRDefault="00D00288" w:rsidP="00D00288">
      <w:pPr>
        <w:pStyle w:val="Heading2"/>
        <w:jc w:val="both"/>
      </w:pPr>
      <w:r>
        <w:t>Checks and replacement</w:t>
      </w:r>
    </w:p>
    <w:p w14:paraId="6A97A195" w14:textId="77777777" w:rsidR="008A0BF7" w:rsidRDefault="00D00288" w:rsidP="00D00288">
      <w:pPr>
        <w:jc w:val="both"/>
        <w:rPr>
          <w:rFonts w:hint="eastAsia"/>
        </w:rPr>
      </w:pPr>
      <w:r>
        <w:t>The Headteacher and Lizzie Grant will ensure a documented check of the spare AAI kit at least monthly and following any use. Checks will include quantity, dosage, expiry date, packaging/device condition and accessibility. Expired or used AAIs will be replaced promptly and disposed of safely through an appropriate route because they contain a needle.</w:t>
      </w:r>
    </w:p>
    <w:p w14:paraId="561EB083" w14:textId="77777777" w:rsidR="008A0BF7" w:rsidRDefault="00D00288" w:rsidP="00D00288">
      <w:pPr>
        <w:pStyle w:val="Heading2"/>
        <w:jc w:val="both"/>
      </w:pPr>
      <w:r>
        <w:t>When a spare AAI may be used</w:t>
      </w:r>
    </w:p>
    <w:p w14:paraId="72667431" w14:textId="77777777" w:rsidR="008A0BF7" w:rsidRDefault="00D00288" w:rsidP="00D00288">
      <w:pPr>
        <w:jc w:val="both"/>
        <w:rPr>
          <w:rFonts w:hint="eastAsia"/>
        </w:rPr>
      </w:pPr>
      <w:r>
        <w:t>In an emergency involving a pupil with suspected anaphylaxis, the pupil’s own prescribed adrenaline should be used first where it is immediately available. A school spare AAI may be used where the prescribed device is unavailable, cannot be used, misfires or where current national guidance permits its emergency use for a pupil with suspected anaphylaxis who has no previously prescribed device.</w:t>
      </w:r>
    </w:p>
    <w:p w14:paraId="5F847D80" w14:textId="77777777" w:rsidR="008A0BF7" w:rsidRDefault="00D00288" w:rsidP="00D00288">
      <w:pPr>
        <w:jc w:val="both"/>
        <w:rPr>
          <w:rFonts w:hint="eastAsia"/>
        </w:rPr>
      </w:pPr>
      <w:r>
        <w:t>Prior consent should be sought and recorded where practicable for pupils known to be at risk. However, emergency treatment must never be delayed while consent is checked: reasonable action may be taken to save a life.</w:t>
      </w:r>
    </w:p>
    <w:p w14:paraId="78CF8185" w14:textId="77777777" w:rsidR="008A0BF7" w:rsidRDefault="00D00288" w:rsidP="00D00288">
      <w:pPr>
        <w:pStyle w:val="Heading1"/>
        <w:jc w:val="both"/>
      </w:pPr>
      <w:r>
        <w:t>12. Responding to an Allergic Reaction</w:t>
      </w:r>
    </w:p>
    <w:p w14:paraId="4BA8CC58" w14:textId="77777777" w:rsidR="008A0BF7" w:rsidRDefault="00D00288" w:rsidP="00D00288">
      <w:pPr>
        <w:pStyle w:val="Heading2"/>
        <w:jc w:val="both"/>
      </w:pPr>
      <w:r>
        <w:t>Mild to moderate reaction</w:t>
      </w:r>
    </w:p>
    <w:p w14:paraId="25B41DB8" w14:textId="77777777" w:rsidR="008A0BF7" w:rsidRDefault="00D00288" w:rsidP="00D00288">
      <w:pPr>
        <w:jc w:val="both"/>
        <w:rPr>
          <w:rFonts w:hint="eastAsia"/>
        </w:rPr>
      </w:pPr>
      <w:r>
        <w:t>Symptoms may include swollen lips/face/eyes, itchy or tingling mouth, hives/itchy rash, abdominal pain/vomiting, mild throat symptoms or a sudden change in behaviour. Staff will follow the pupil’s Action Plan/IHP, administer authorised medication where directed, inform parents/carers and monitor the pupil closely. The pupil must not be left unattended. Mild reactions can progress to anaphylaxis.</w:t>
      </w:r>
    </w:p>
    <w:p w14:paraId="09E4D5D8" w14:textId="77777777" w:rsidR="008A0BF7" w:rsidRDefault="00D00288" w:rsidP="00D00288">
      <w:pPr>
        <w:pStyle w:val="Heading2"/>
        <w:jc w:val="both"/>
      </w:pPr>
      <w:r>
        <w:t>Anaphylaxis – ABC symptoms</w:t>
      </w:r>
    </w:p>
    <w:tbl>
      <w:tblPr>
        <w:tblW w:w="0" w:type="auto"/>
        <w:jc w:val="center"/>
        <w:tblLayout w:type="fixed"/>
        <w:tblLook w:val="04A0" w:firstRow="1" w:lastRow="0" w:firstColumn="1" w:lastColumn="0" w:noHBand="0" w:noVBand="1"/>
      </w:tblPr>
      <w:tblGrid>
        <w:gridCol w:w="5083"/>
        <w:gridCol w:w="5083"/>
      </w:tblGrid>
      <w:tr w:rsidR="008A0BF7" w14:paraId="212299D8" w14:textId="77777777">
        <w:trPr>
          <w:cantSplit/>
          <w:tblHeader/>
          <w:jc w:val="center"/>
        </w:trPr>
        <w:tc>
          <w:tcPr>
            <w:tcW w:w="5083" w:type="dxa"/>
            <w:tcBorders>
              <w:top w:val="single" w:sz="5" w:space="0" w:color="3E2B8F"/>
              <w:left w:val="single" w:sz="5" w:space="0" w:color="3E2B8F"/>
              <w:bottom w:val="single" w:sz="5" w:space="0" w:color="3E2B8F"/>
              <w:right w:val="single" w:sz="5" w:space="0" w:color="3E2B8F"/>
            </w:tcBorders>
            <w:shd w:val="clear" w:color="auto" w:fill="3E2B8F"/>
            <w:tcMar>
              <w:top w:w="90" w:type="dxa"/>
              <w:left w:w="110" w:type="dxa"/>
              <w:bottom w:w="90" w:type="dxa"/>
              <w:right w:w="110" w:type="dxa"/>
            </w:tcMar>
          </w:tcPr>
          <w:p w14:paraId="2AEC6336" w14:textId="77777777" w:rsidR="008A0BF7" w:rsidRDefault="00D00288">
            <w:pPr>
              <w:rPr>
                <w:rFonts w:hint="eastAsia"/>
              </w:rPr>
            </w:pPr>
            <w:r>
              <w:rPr>
                <w:rFonts w:eastAsia="Aptos"/>
                <w:b/>
                <w:color w:val="FFFFFF"/>
                <w:sz w:val="18"/>
              </w:rPr>
              <w:t>ABC</w:t>
            </w:r>
          </w:p>
        </w:tc>
        <w:tc>
          <w:tcPr>
            <w:tcW w:w="5083" w:type="dxa"/>
            <w:tcBorders>
              <w:top w:val="single" w:sz="5" w:space="0" w:color="3E2B8F"/>
              <w:left w:val="single" w:sz="5" w:space="0" w:color="3E2B8F"/>
              <w:bottom w:val="single" w:sz="5" w:space="0" w:color="3E2B8F"/>
              <w:right w:val="single" w:sz="5" w:space="0" w:color="3E2B8F"/>
            </w:tcBorders>
            <w:shd w:val="clear" w:color="auto" w:fill="3E2B8F"/>
            <w:tcMar>
              <w:top w:w="90" w:type="dxa"/>
              <w:left w:w="110" w:type="dxa"/>
              <w:bottom w:w="90" w:type="dxa"/>
              <w:right w:w="110" w:type="dxa"/>
            </w:tcMar>
          </w:tcPr>
          <w:p w14:paraId="49A6DABE" w14:textId="77777777" w:rsidR="008A0BF7" w:rsidRDefault="00D00288">
            <w:pPr>
              <w:rPr>
                <w:rFonts w:hint="eastAsia"/>
              </w:rPr>
            </w:pPr>
            <w:r>
              <w:rPr>
                <w:rFonts w:eastAsia="Aptos"/>
                <w:b/>
                <w:color w:val="FFFFFF"/>
                <w:sz w:val="18"/>
              </w:rPr>
              <w:t>Possible signs</w:t>
            </w:r>
          </w:p>
        </w:tc>
      </w:tr>
      <w:tr w:rsidR="008A0BF7" w14:paraId="6D4534B0"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8"/>
            <w:tcMar>
              <w:top w:w="90" w:type="dxa"/>
              <w:left w:w="110" w:type="dxa"/>
              <w:bottom w:w="90" w:type="dxa"/>
              <w:right w:w="110" w:type="dxa"/>
            </w:tcMar>
            <w:vAlign w:val="center"/>
          </w:tcPr>
          <w:p w14:paraId="4774BFBF" w14:textId="77777777" w:rsidR="008A0BF7" w:rsidRDefault="00D00288">
            <w:pPr>
              <w:rPr>
                <w:rFonts w:hint="eastAsia"/>
              </w:rPr>
            </w:pPr>
            <w:r>
              <w:rPr>
                <w:rFonts w:eastAsia="Aptos"/>
                <w:b/>
                <w:sz w:val="18"/>
              </w:rPr>
              <w:t>AIRWAY</w:t>
            </w:r>
          </w:p>
        </w:tc>
        <w:tc>
          <w:tcPr>
            <w:tcW w:w="5083" w:type="dxa"/>
            <w:tcBorders>
              <w:top w:val="single" w:sz="5" w:space="0" w:color="D8DCE3"/>
              <w:left w:val="single" w:sz="5" w:space="0" w:color="D8DCE3"/>
              <w:bottom w:val="single" w:sz="5" w:space="0" w:color="D8DCE3"/>
              <w:right w:val="single" w:sz="5" w:space="0" w:color="D8DCE3"/>
            </w:tcBorders>
            <w:tcMar>
              <w:top w:w="90" w:type="dxa"/>
              <w:left w:w="110" w:type="dxa"/>
              <w:bottom w:w="90" w:type="dxa"/>
              <w:right w:w="110" w:type="dxa"/>
            </w:tcMar>
            <w:vAlign w:val="center"/>
          </w:tcPr>
          <w:p w14:paraId="64ECD8C7" w14:textId="77777777" w:rsidR="008A0BF7" w:rsidRDefault="00D00288">
            <w:pPr>
              <w:rPr>
                <w:rFonts w:hint="eastAsia"/>
              </w:rPr>
            </w:pPr>
            <w:r>
              <w:rPr>
                <w:rFonts w:eastAsia="Aptos"/>
                <w:sz w:val="18"/>
              </w:rPr>
              <w:t>Swelling of throat/tongue/upper airway; tight throat; hoarse voice; difficulty swallowing.</w:t>
            </w:r>
          </w:p>
        </w:tc>
      </w:tr>
      <w:tr w:rsidR="008A0BF7" w14:paraId="35AB9CF2"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8"/>
            <w:tcMar>
              <w:top w:w="90" w:type="dxa"/>
              <w:left w:w="110" w:type="dxa"/>
              <w:bottom w:w="90" w:type="dxa"/>
              <w:right w:w="110" w:type="dxa"/>
            </w:tcMar>
            <w:vAlign w:val="center"/>
          </w:tcPr>
          <w:p w14:paraId="13034172" w14:textId="77777777" w:rsidR="008A0BF7" w:rsidRDefault="00D00288">
            <w:pPr>
              <w:rPr>
                <w:rFonts w:hint="eastAsia"/>
              </w:rPr>
            </w:pPr>
            <w:r>
              <w:rPr>
                <w:rFonts w:eastAsia="Aptos"/>
                <w:b/>
                <w:sz w:val="18"/>
              </w:rPr>
              <w:lastRenderedPageBreak/>
              <w:t>BREATHING</w:t>
            </w:r>
          </w:p>
        </w:tc>
        <w:tc>
          <w:tcPr>
            <w:tcW w:w="5083" w:type="dxa"/>
            <w:tcBorders>
              <w:top w:val="single" w:sz="5" w:space="0" w:color="D8DCE3"/>
              <w:left w:val="single" w:sz="5" w:space="0" w:color="D8DCE3"/>
              <w:bottom w:val="single" w:sz="5" w:space="0" w:color="D8DCE3"/>
              <w:right w:val="single" w:sz="5" w:space="0" w:color="D8DCE3"/>
            </w:tcBorders>
            <w:tcMar>
              <w:top w:w="90" w:type="dxa"/>
              <w:left w:w="110" w:type="dxa"/>
              <w:bottom w:w="90" w:type="dxa"/>
              <w:right w:w="110" w:type="dxa"/>
            </w:tcMar>
            <w:vAlign w:val="center"/>
          </w:tcPr>
          <w:p w14:paraId="7EF26F7A" w14:textId="77777777" w:rsidR="008A0BF7" w:rsidRDefault="00D00288">
            <w:pPr>
              <w:rPr>
                <w:rFonts w:hint="eastAsia"/>
              </w:rPr>
            </w:pPr>
            <w:r>
              <w:rPr>
                <w:rFonts w:eastAsia="Aptos"/>
                <w:sz w:val="18"/>
              </w:rPr>
              <w:t>Sudden wheeze; difficulty breathing; persistent cough; noisy breathing.</w:t>
            </w:r>
          </w:p>
        </w:tc>
      </w:tr>
      <w:tr w:rsidR="008A0BF7" w14:paraId="06B0BCDB"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8"/>
            <w:tcMar>
              <w:top w:w="90" w:type="dxa"/>
              <w:left w:w="110" w:type="dxa"/>
              <w:bottom w:w="90" w:type="dxa"/>
              <w:right w:w="110" w:type="dxa"/>
            </w:tcMar>
            <w:vAlign w:val="center"/>
          </w:tcPr>
          <w:p w14:paraId="13B0D30C" w14:textId="77777777" w:rsidR="008A0BF7" w:rsidRDefault="00D00288">
            <w:pPr>
              <w:rPr>
                <w:rFonts w:hint="eastAsia"/>
              </w:rPr>
            </w:pPr>
            <w:r>
              <w:rPr>
                <w:rFonts w:eastAsia="Aptos"/>
                <w:b/>
                <w:sz w:val="18"/>
              </w:rPr>
              <w:t>CIRCULATION</w:t>
            </w:r>
          </w:p>
        </w:tc>
        <w:tc>
          <w:tcPr>
            <w:tcW w:w="5083" w:type="dxa"/>
            <w:tcBorders>
              <w:top w:val="single" w:sz="5" w:space="0" w:color="D8DCE3"/>
              <w:left w:val="single" w:sz="5" w:space="0" w:color="D8DCE3"/>
              <w:bottom w:val="single" w:sz="5" w:space="0" w:color="D8DCE3"/>
              <w:right w:val="single" w:sz="5" w:space="0" w:color="D8DCE3"/>
            </w:tcBorders>
            <w:tcMar>
              <w:top w:w="90" w:type="dxa"/>
              <w:left w:w="110" w:type="dxa"/>
              <w:bottom w:w="90" w:type="dxa"/>
              <w:right w:w="110" w:type="dxa"/>
            </w:tcMar>
            <w:vAlign w:val="center"/>
          </w:tcPr>
          <w:p w14:paraId="019D32C1" w14:textId="77777777" w:rsidR="008A0BF7" w:rsidRDefault="00D00288">
            <w:pPr>
              <w:rPr>
                <w:rFonts w:hint="eastAsia"/>
              </w:rPr>
            </w:pPr>
            <w:r>
              <w:rPr>
                <w:rFonts w:eastAsia="Aptos"/>
                <w:sz w:val="18"/>
              </w:rPr>
              <w:t>Dizziness/faintness; sudden sleepiness/confusion; pale clammy skin; collapse or loss of consciousness.</w:t>
            </w:r>
          </w:p>
        </w:tc>
      </w:tr>
    </w:tbl>
    <w:p w14:paraId="4549CD84" w14:textId="77777777" w:rsidR="008A0BF7" w:rsidRDefault="00D00288">
      <w:pPr>
        <w:pStyle w:val="ManudenAlert"/>
        <w:rPr>
          <w:rFonts w:hint="eastAsia"/>
        </w:rPr>
      </w:pPr>
      <w:r>
        <w:t>ANY Airway, Breathing or Circulation symptom = treat as ANAPHYLAXIS. A rash is NOT required. IF IN DOUBT, GIVE ADRENALINE.</w:t>
      </w:r>
    </w:p>
    <w:p w14:paraId="3B5E0986" w14:textId="77777777" w:rsidR="008A0BF7" w:rsidRDefault="00D00288">
      <w:pPr>
        <w:pStyle w:val="ManudenProcess"/>
        <w:rPr>
          <w:rFonts w:hint="eastAsia"/>
        </w:rPr>
      </w:pPr>
      <w:r>
        <w:t>GIVE ADRENALINE  →  CALL 999 (“ANAPHYLAXIS”)  →  STAY WITH PUPIL  →  SECOND DOSE AFTER 5 MINUTES IF NO IMPROVEMENT</w:t>
      </w:r>
    </w:p>
    <w:p w14:paraId="21A01D44" w14:textId="77777777" w:rsidR="008A0BF7" w:rsidRDefault="00D00288" w:rsidP="00D00288">
      <w:pPr>
        <w:jc w:val="both"/>
        <w:rPr>
          <w:rFonts w:hint="eastAsia"/>
        </w:rPr>
      </w:pPr>
      <w:r>
        <w:t>In anaphylaxis:</w:t>
      </w:r>
    </w:p>
    <w:p w14:paraId="168F8D67" w14:textId="77777777" w:rsidR="008A0BF7" w:rsidRDefault="00D00288" w:rsidP="00D00288">
      <w:pPr>
        <w:pStyle w:val="ListNumber"/>
        <w:jc w:val="both"/>
        <w:rPr>
          <w:rFonts w:hint="eastAsia"/>
        </w:rPr>
      </w:pPr>
      <w:r>
        <w:t xml:space="preserve">Bring the adrenaline to the pupil. Do not make the </w:t>
      </w:r>
      <w:r>
        <w:t>pupil walk to the medicine or school office/staff room.</w:t>
      </w:r>
    </w:p>
    <w:p w14:paraId="1C3057C6" w14:textId="77777777" w:rsidR="008A0BF7" w:rsidRDefault="00D00288" w:rsidP="00D00288">
      <w:pPr>
        <w:pStyle w:val="ListNumber"/>
        <w:jc w:val="both"/>
        <w:rPr>
          <w:rFonts w:hint="eastAsia"/>
        </w:rPr>
      </w:pPr>
      <w:r>
        <w:t>Keep the pupil lying flat with legs raised where possible. If breathing is very difficult they may be allowed to sit up, but they must not stand or walk.</w:t>
      </w:r>
    </w:p>
    <w:p w14:paraId="05A418FB" w14:textId="77777777" w:rsidR="008A0BF7" w:rsidRDefault="00D00288" w:rsidP="00D00288">
      <w:pPr>
        <w:pStyle w:val="ListNumber"/>
        <w:jc w:val="both"/>
        <w:rPr>
          <w:rFonts w:hint="eastAsia"/>
        </w:rPr>
      </w:pPr>
      <w:r>
        <w:t>Administer the pupil’s prescribed adrenaline device immediately. If it is not immediately available or cannot be used, use the appropriate school spare AAI in line with this policy/current guidance.</w:t>
      </w:r>
    </w:p>
    <w:p w14:paraId="035F04B1" w14:textId="77777777" w:rsidR="008A0BF7" w:rsidRDefault="00D00288" w:rsidP="00D00288">
      <w:pPr>
        <w:pStyle w:val="ListNumber"/>
        <w:jc w:val="both"/>
        <w:rPr>
          <w:rFonts w:hint="eastAsia"/>
        </w:rPr>
      </w:pPr>
      <w:r>
        <w:t>Call 999 immediately and state “ANAPHYLAXIS”. Do not wait to call 999 before giving adrenaline.</w:t>
      </w:r>
    </w:p>
    <w:p w14:paraId="6F43B3EB" w14:textId="77777777" w:rsidR="008A0BF7" w:rsidRDefault="00D00288" w:rsidP="00D00288">
      <w:pPr>
        <w:pStyle w:val="ListNumber"/>
        <w:jc w:val="both"/>
        <w:rPr>
          <w:rFonts w:hint="eastAsia"/>
        </w:rPr>
      </w:pPr>
      <w:r>
        <w:t>Send an adult to bring the second prescribed/spare AAI and the pupil’s Action Plan if not already present.</w:t>
      </w:r>
    </w:p>
    <w:p w14:paraId="135A325D" w14:textId="77777777" w:rsidR="008A0BF7" w:rsidRDefault="00D00288" w:rsidP="00D00288">
      <w:pPr>
        <w:pStyle w:val="ListNumber"/>
        <w:jc w:val="both"/>
        <w:rPr>
          <w:rFonts w:hint="eastAsia"/>
        </w:rPr>
      </w:pPr>
      <w:r>
        <w:t>If there is no improvement after 5 minutes, give a further dose of adrenaline using a second device.</w:t>
      </w:r>
    </w:p>
    <w:p w14:paraId="064AD428" w14:textId="77777777" w:rsidR="008A0BF7" w:rsidRDefault="00D00288" w:rsidP="00D00288">
      <w:pPr>
        <w:pStyle w:val="ListNumber"/>
        <w:jc w:val="both"/>
        <w:rPr>
          <w:rFonts w:hint="eastAsia"/>
        </w:rPr>
      </w:pPr>
      <w:r>
        <w:t>If the pupil is not breathing normally, begin CPR and follow 999 instructions.</w:t>
      </w:r>
    </w:p>
    <w:p w14:paraId="7FB9C91C" w14:textId="77777777" w:rsidR="008A0BF7" w:rsidRDefault="00D00288" w:rsidP="00D00288">
      <w:pPr>
        <w:pStyle w:val="ListNumber"/>
        <w:jc w:val="both"/>
        <w:rPr>
          <w:rFonts w:hint="eastAsia"/>
        </w:rPr>
      </w:pPr>
      <w:r>
        <w:t>Contact parents/carers after emergency treatment and the ambulance call are underway.</w:t>
      </w:r>
    </w:p>
    <w:p w14:paraId="15653B6C" w14:textId="77777777" w:rsidR="008A0BF7" w:rsidRDefault="00D00288" w:rsidP="00D00288">
      <w:pPr>
        <w:pStyle w:val="ListNumber"/>
        <w:jc w:val="both"/>
        <w:rPr>
          <w:rFonts w:hint="eastAsia"/>
        </w:rPr>
      </w:pPr>
      <w:r>
        <w:t>Ensure the pupil is transferred to hospital by ambulance, even if symptoms improve.</w:t>
      </w:r>
    </w:p>
    <w:p w14:paraId="67A568A3" w14:textId="77777777" w:rsidR="008A0BF7" w:rsidRDefault="00D00288" w:rsidP="00D00288">
      <w:pPr>
        <w:jc w:val="both"/>
        <w:rPr>
          <w:rFonts w:hint="eastAsia"/>
        </w:rPr>
      </w:pPr>
      <w:r>
        <w:t>Where a pupil has asthma and an allergy, follow their Action Plan. A reliever inhaler may be given after adrenaline if indicated, but must never delay or replace adrenaline for anaphylaxis.</w:t>
      </w:r>
    </w:p>
    <w:p w14:paraId="4FAC1D37" w14:textId="77777777" w:rsidR="008A0BF7" w:rsidRDefault="00D00288" w:rsidP="00D00288">
      <w:pPr>
        <w:pStyle w:val="Heading1"/>
        <w:jc w:val="both"/>
      </w:pPr>
      <w:r>
        <w:t>13. Educational Visits, Clubs and Activities</w:t>
      </w:r>
    </w:p>
    <w:p w14:paraId="18E9A551" w14:textId="77777777" w:rsidR="008A0BF7" w:rsidRDefault="00D00288" w:rsidP="00D00288">
      <w:pPr>
        <w:jc w:val="both"/>
        <w:rPr>
          <w:rFonts w:hint="eastAsia"/>
        </w:rPr>
      </w:pPr>
      <w:r>
        <w:t>Allergy must not create an unnecessary barrier to participation in educational visits, residentials, clubs, PE, performances or other school activities. Relevant adjustments and risks will be planned in advance.</w:t>
      </w:r>
    </w:p>
    <w:p w14:paraId="5677E233" w14:textId="77777777" w:rsidR="008A0BF7" w:rsidRDefault="00D00288" w:rsidP="00D00288">
      <w:pPr>
        <w:pStyle w:val="ListBullet"/>
        <w:jc w:val="both"/>
        <w:rPr>
          <w:rFonts w:hint="eastAsia"/>
        </w:rPr>
      </w:pPr>
      <w:r>
        <w:t>a specific risk assessment will be completed for a pupil at risk of anaphylaxis on an off-site visit;</w:t>
      </w:r>
    </w:p>
    <w:p w14:paraId="502DAD32" w14:textId="77777777" w:rsidR="008A0BF7" w:rsidRDefault="00D00288" w:rsidP="00D00288">
      <w:pPr>
        <w:pStyle w:val="ListBullet"/>
        <w:jc w:val="both"/>
        <w:rPr>
          <w:rFonts w:hint="eastAsia"/>
        </w:rPr>
      </w:pPr>
      <w:r>
        <w:t>the pupil’s prescribed adrenaline and Action Plan must accompany them;</w:t>
      </w:r>
    </w:p>
    <w:p w14:paraId="035A3BDF" w14:textId="77777777" w:rsidR="008A0BF7" w:rsidRDefault="00D00288" w:rsidP="00D00288">
      <w:pPr>
        <w:pStyle w:val="ListBullet"/>
        <w:jc w:val="both"/>
        <w:rPr>
          <w:rFonts w:hint="eastAsia"/>
        </w:rPr>
      </w:pPr>
      <w:r>
        <w:t>at least one accompanying adult must know the pupil’s arrangements and be able to respond to anaphylaxis;</w:t>
      </w:r>
    </w:p>
    <w:p w14:paraId="37B79249" w14:textId="77777777" w:rsidR="008A0BF7" w:rsidRDefault="00D00288" w:rsidP="00D00288">
      <w:pPr>
        <w:pStyle w:val="ListBullet"/>
        <w:jc w:val="both"/>
        <w:rPr>
          <w:rFonts w:hint="eastAsia"/>
        </w:rPr>
      </w:pPr>
      <w:r>
        <w:t>food and accommodation providers will be given relevant allergy information in advance where required;</w:t>
      </w:r>
    </w:p>
    <w:p w14:paraId="1873BDCF" w14:textId="77777777" w:rsidR="008A0BF7" w:rsidRDefault="00D00288" w:rsidP="00D00288">
      <w:pPr>
        <w:pStyle w:val="ListBullet"/>
        <w:jc w:val="both"/>
        <w:rPr>
          <w:rFonts w:hint="eastAsia"/>
        </w:rPr>
      </w:pPr>
      <w:r>
        <w:t>where appropriate, a pair of school spare AAIs may accompany a trip, provided adequate spare cover remains on the school site;</w:t>
      </w:r>
    </w:p>
    <w:p w14:paraId="2B456606" w14:textId="77777777" w:rsidR="008A0BF7" w:rsidRDefault="00D00288" w:rsidP="00D00288">
      <w:pPr>
        <w:pStyle w:val="ListBullet"/>
        <w:jc w:val="both"/>
        <w:rPr>
          <w:rFonts w:hint="eastAsia"/>
        </w:rPr>
      </w:pPr>
      <w:r>
        <w:t>parents will not routinely be required to attend simply because their child has an allergy.</w:t>
      </w:r>
    </w:p>
    <w:p w14:paraId="2067B405" w14:textId="77777777" w:rsidR="008A0BF7" w:rsidRDefault="00D00288" w:rsidP="00D00288">
      <w:pPr>
        <w:pStyle w:val="Heading1"/>
        <w:jc w:val="both"/>
      </w:pPr>
      <w:r>
        <w:t>14. Inclusion, Wellbeing and Bullying</w:t>
      </w:r>
    </w:p>
    <w:p w14:paraId="4571F45D" w14:textId="77777777" w:rsidR="008A0BF7" w:rsidRDefault="00D00288" w:rsidP="00D00288">
      <w:pPr>
        <w:jc w:val="both"/>
        <w:rPr>
          <w:rFonts w:hint="eastAsia"/>
        </w:rPr>
      </w:pPr>
      <w:r>
        <w:t>Living with allergy can create anxiety for pupils and families. Manuden will support pupils to feel safe without making them feel singled out or excluded. Staff will explain arrangements sensitively and help pupils develop age-appropriate confidence in managing their condition.</w:t>
      </w:r>
    </w:p>
    <w:p w14:paraId="3FB877BD" w14:textId="77777777" w:rsidR="008A0BF7" w:rsidRDefault="00D00288" w:rsidP="00D00288">
      <w:pPr>
        <w:jc w:val="both"/>
        <w:rPr>
          <w:rFonts w:hint="eastAsia"/>
        </w:rPr>
      </w:pPr>
      <w:r>
        <w:t>Bullying, teasing, deliberate exposure to an allergen or threatening a pupil with an allergen will be treated seriously under the Behaviour and Anti-Bullying Policies and may constitute a safeguarding concern. Deliberate exposure to a known allergen can cause serious harm and will never be dismissed as a joke.</w:t>
      </w:r>
    </w:p>
    <w:p w14:paraId="22D67357" w14:textId="77777777" w:rsidR="008A0BF7" w:rsidRDefault="00D00288" w:rsidP="00D00288">
      <w:pPr>
        <w:pStyle w:val="Heading1"/>
        <w:jc w:val="both"/>
      </w:pPr>
      <w:r>
        <w:lastRenderedPageBreak/>
        <w:t>15. Information Sharing and Data Protection</w:t>
      </w:r>
    </w:p>
    <w:p w14:paraId="181396BE" w14:textId="77777777" w:rsidR="008A0BF7" w:rsidRDefault="00D00288" w:rsidP="00D00288">
      <w:pPr>
        <w:jc w:val="both"/>
        <w:rPr>
          <w:rFonts w:hint="eastAsia"/>
        </w:rPr>
      </w:pPr>
      <w:r>
        <w:t>Information about allergy is health information and therefore special-category personal data. The school will hold and share the minimum information necessary to keep pupils safe and included, in accordance with data-protection requirements.</w:t>
      </w:r>
    </w:p>
    <w:p w14:paraId="428AAB19" w14:textId="77777777" w:rsidR="008A0BF7" w:rsidRDefault="00D00288" w:rsidP="00D00288">
      <w:pPr>
        <w:jc w:val="both"/>
        <w:rPr>
          <w:rFonts w:hint="eastAsia"/>
        </w:rPr>
      </w:pPr>
      <w:r>
        <w:t>Relevant information may be shared with class staff, catering/lunchtime staff, supply staff, club staff, visit leaders and emergency responders where necessary. Photographs or allergy information used in kitchens/serving areas will be restricted to appropriate staff-facing locations and used only for safety purposes.</w:t>
      </w:r>
    </w:p>
    <w:p w14:paraId="5CD2C123" w14:textId="77777777" w:rsidR="008A0BF7" w:rsidRDefault="00D00288" w:rsidP="00D00288">
      <w:pPr>
        <w:pStyle w:val="Heading1"/>
        <w:jc w:val="both"/>
      </w:pPr>
      <w:r>
        <w:t>16. Serious Incidents, Near Misses and Learning</w:t>
      </w:r>
    </w:p>
    <w:p w14:paraId="1C483A80" w14:textId="77777777" w:rsidR="008A0BF7" w:rsidRDefault="00D00288" w:rsidP="00D00288">
      <w:pPr>
        <w:jc w:val="both"/>
        <w:rPr>
          <w:rFonts w:hint="eastAsia"/>
        </w:rPr>
      </w:pPr>
      <w:r>
        <w:t>A serious allergy incident is an event in which a person is harmed or placed at immediate and significant risk of harm, including situations requiring emergency medication, urgent clinical intervention or emergency services. A near miss is an event that did not cause harm but had clear potential to do so, for example a pupil being given food containing a known allergen but identifying the error before eating it.</w:t>
      </w:r>
    </w:p>
    <w:p w14:paraId="19F911BA" w14:textId="77777777" w:rsidR="008A0BF7" w:rsidRDefault="00D00288" w:rsidP="00D00288">
      <w:pPr>
        <w:jc w:val="both"/>
        <w:rPr>
          <w:rFonts w:hint="eastAsia"/>
        </w:rPr>
      </w:pPr>
      <w:r>
        <w:t>Manuden will record and learn from serious incidents and near misses in a no-blame, improvement-focused way. For a pupil this will include a factual record on CPOMS, alongside first-aid/accident or medication records where relevant.</w:t>
      </w:r>
    </w:p>
    <w:p w14:paraId="0329BC27" w14:textId="77777777" w:rsidR="008A0BF7" w:rsidRDefault="00D00288" w:rsidP="00D00288">
      <w:pPr>
        <w:jc w:val="both"/>
        <w:rPr>
          <w:rFonts w:hint="eastAsia"/>
        </w:rPr>
      </w:pPr>
      <w:r>
        <w:t>Following a serious incident or significant near miss, the Headteacher will:</w:t>
      </w:r>
    </w:p>
    <w:p w14:paraId="7323E4C1" w14:textId="77777777" w:rsidR="008A0BF7" w:rsidRDefault="00D00288" w:rsidP="00D00288">
      <w:pPr>
        <w:pStyle w:val="ListBullet"/>
        <w:jc w:val="both"/>
        <w:rPr>
          <w:rFonts w:hint="eastAsia"/>
        </w:rPr>
      </w:pPr>
      <w:r>
        <w:t xml:space="preserve">make sure parents/carers are informed and the pupil receives </w:t>
      </w:r>
      <w:r>
        <w:t>appropriate support;</w:t>
      </w:r>
    </w:p>
    <w:p w14:paraId="430BAFFC" w14:textId="77777777" w:rsidR="008A0BF7" w:rsidRDefault="00D00288" w:rsidP="00D00288">
      <w:pPr>
        <w:pStyle w:val="ListBullet"/>
        <w:jc w:val="both"/>
        <w:rPr>
          <w:rFonts w:hint="eastAsia"/>
        </w:rPr>
      </w:pPr>
      <w:r>
        <w:t>preserve relevant information and establish what happened;</w:t>
      </w:r>
    </w:p>
    <w:p w14:paraId="326B284B" w14:textId="77777777" w:rsidR="008A0BF7" w:rsidRDefault="00D00288" w:rsidP="00D00288">
      <w:pPr>
        <w:pStyle w:val="ListBullet"/>
        <w:jc w:val="both"/>
        <w:rPr>
          <w:rFonts w:hint="eastAsia"/>
        </w:rPr>
      </w:pPr>
      <w:r>
        <w:t>review the pupil’s IHP/Action Plan and local arrangements;</w:t>
      </w:r>
    </w:p>
    <w:p w14:paraId="53F5A59A" w14:textId="77777777" w:rsidR="008A0BF7" w:rsidRDefault="00D00288" w:rsidP="00D00288">
      <w:pPr>
        <w:pStyle w:val="ListBullet"/>
        <w:jc w:val="both"/>
        <w:rPr>
          <w:rFonts w:hint="eastAsia"/>
        </w:rPr>
      </w:pPr>
      <w:r>
        <w:t>consider whether staff training, catering, communication, supervision, storage or risk controls need changing;</w:t>
      </w:r>
    </w:p>
    <w:p w14:paraId="11DEF56A" w14:textId="77777777" w:rsidR="008A0BF7" w:rsidRDefault="00D00288" w:rsidP="00D00288">
      <w:pPr>
        <w:pStyle w:val="ListBullet"/>
        <w:jc w:val="both"/>
        <w:rPr>
          <w:rFonts w:hint="eastAsia"/>
        </w:rPr>
      </w:pPr>
      <w:r>
        <w:t>report relevant anonymised information and learning to the Governing Body;</w:t>
      </w:r>
    </w:p>
    <w:p w14:paraId="3179AFA3" w14:textId="77777777" w:rsidR="008A0BF7" w:rsidRDefault="00D00288" w:rsidP="00D00288">
      <w:pPr>
        <w:pStyle w:val="ListBullet"/>
        <w:jc w:val="both"/>
        <w:rPr>
          <w:rFonts w:hint="eastAsia"/>
        </w:rPr>
      </w:pPr>
      <w:r>
        <w:t>complete or seek advice on any required external reporting, including health-and-safety or food-safety reporting where applicable;</w:t>
      </w:r>
    </w:p>
    <w:p w14:paraId="2453C8AC" w14:textId="77777777" w:rsidR="008A0BF7" w:rsidRDefault="00D00288" w:rsidP="00D00288">
      <w:pPr>
        <w:pStyle w:val="ListBullet"/>
        <w:jc w:val="both"/>
        <w:rPr>
          <w:rFonts w:hint="eastAsia"/>
        </w:rPr>
      </w:pPr>
      <w:r>
        <w:t>review this Allergy Safety Policy before the scheduled annual review where necessary.</w:t>
      </w:r>
    </w:p>
    <w:p w14:paraId="3D463AC3" w14:textId="77777777" w:rsidR="008A0BF7" w:rsidRDefault="00D00288" w:rsidP="00D00288">
      <w:pPr>
        <w:pStyle w:val="Heading1"/>
        <w:jc w:val="both"/>
      </w:pPr>
      <w:r>
        <w:t>17. Unacceptable Practice</w:t>
      </w:r>
    </w:p>
    <w:p w14:paraId="4A49213B" w14:textId="77777777" w:rsidR="008A0BF7" w:rsidRDefault="00D00288" w:rsidP="00D00288">
      <w:pPr>
        <w:jc w:val="both"/>
        <w:rPr>
          <w:rFonts w:hint="eastAsia"/>
        </w:rPr>
      </w:pPr>
      <w:r>
        <w:t>The following practices are not acceptable at Manuden:</w:t>
      </w:r>
    </w:p>
    <w:p w14:paraId="728CBED4" w14:textId="77777777" w:rsidR="008A0BF7" w:rsidRDefault="00D00288" w:rsidP="00D00288">
      <w:pPr>
        <w:pStyle w:val="ListBullet"/>
        <w:jc w:val="both"/>
        <w:rPr>
          <w:rFonts w:hint="eastAsia"/>
        </w:rPr>
      </w:pPr>
      <w:r>
        <w:t>locking away emergency adrenaline or placing it where access is restricted or delayed;</w:t>
      </w:r>
    </w:p>
    <w:p w14:paraId="1C81C886" w14:textId="77777777" w:rsidR="008A0BF7" w:rsidRDefault="00D00288" w:rsidP="00D00288">
      <w:pPr>
        <w:pStyle w:val="ListBullet"/>
        <w:jc w:val="both"/>
        <w:rPr>
          <w:rFonts w:hint="eastAsia"/>
        </w:rPr>
      </w:pPr>
      <w:r>
        <w:t xml:space="preserve">expecting a pupil experiencing anaphylaxis to walk to </w:t>
      </w:r>
      <w:r>
        <w:t>the office, staff room or another location for medication;</w:t>
      </w:r>
    </w:p>
    <w:p w14:paraId="39F679BF" w14:textId="77777777" w:rsidR="008A0BF7" w:rsidRDefault="00D00288" w:rsidP="00D00288">
      <w:pPr>
        <w:pStyle w:val="ListBullet"/>
        <w:jc w:val="both"/>
        <w:rPr>
          <w:rFonts w:hint="eastAsia"/>
        </w:rPr>
      </w:pPr>
      <w:r>
        <w:t>delaying adrenaline while waiting for parents, senior staff, consent or an ambulance;</w:t>
      </w:r>
    </w:p>
    <w:p w14:paraId="3FA96FA6" w14:textId="77777777" w:rsidR="008A0BF7" w:rsidRDefault="00D00288" w:rsidP="00D00288">
      <w:pPr>
        <w:pStyle w:val="ListBullet"/>
        <w:jc w:val="both"/>
        <w:rPr>
          <w:rFonts w:hint="eastAsia"/>
        </w:rPr>
      </w:pPr>
      <w:r>
        <w:t>using an asthma inhaler or antihistamine instead of adrenaline where anaphylaxis is suspected;</w:t>
      </w:r>
    </w:p>
    <w:p w14:paraId="622D1648" w14:textId="77777777" w:rsidR="008A0BF7" w:rsidRDefault="00D00288" w:rsidP="00D00288">
      <w:pPr>
        <w:pStyle w:val="ListBullet"/>
        <w:jc w:val="both"/>
        <w:rPr>
          <w:rFonts w:hint="eastAsia"/>
        </w:rPr>
      </w:pPr>
      <w:r>
        <w:t>ignoring a pupil’s or parent’s views, medical evidence or healthcare advice;</w:t>
      </w:r>
    </w:p>
    <w:p w14:paraId="76BCC655" w14:textId="77777777" w:rsidR="008A0BF7" w:rsidRDefault="00D00288" w:rsidP="00D00288">
      <w:pPr>
        <w:pStyle w:val="ListBullet"/>
        <w:jc w:val="both"/>
        <w:rPr>
          <w:rFonts w:hint="eastAsia"/>
        </w:rPr>
      </w:pPr>
      <w:r>
        <w:t>assuming all pupils with allergy need identical arrangements;</w:t>
      </w:r>
    </w:p>
    <w:p w14:paraId="4311A696" w14:textId="77777777" w:rsidR="008A0BF7" w:rsidRDefault="00D00288" w:rsidP="00D00288">
      <w:pPr>
        <w:pStyle w:val="ListBullet"/>
        <w:jc w:val="both"/>
        <w:rPr>
          <w:rFonts w:hint="eastAsia"/>
        </w:rPr>
      </w:pPr>
      <w:r>
        <w:t>assuming an undiagnosed pupil cannot be having an allergic reaction;</w:t>
      </w:r>
    </w:p>
    <w:p w14:paraId="17309E23" w14:textId="77777777" w:rsidR="008A0BF7" w:rsidRDefault="00D00288" w:rsidP="00D00288">
      <w:pPr>
        <w:pStyle w:val="ListBullet"/>
        <w:jc w:val="both"/>
        <w:rPr>
          <w:rFonts w:hint="eastAsia"/>
        </w:rPr>
      </w:pPr>
      <w:r>
        <w:t>unnecessarily excluding a pupil with allergy from meals, trips, clubs or normal school activities;</w:t>
      </w:r>
    </w:p>
    <w:p w14:paraId="3F2F6FCB" w14:textId="77777777" w:rsidR="008A0BF7" w:rsidRDefault="00D00288" w:rsidP="00D00288">
      <w:pPr>
        <w:pStyle w:val="ListBullet"/>
        <w:jc w:val="both"/>
        <w:rPr>
          <w:rFonts w:hint="eastAsia"/>
        </w:rPr>
      </w:pPr>
      <w:r>
        <w:t>relying on a “nut-free” label instead of active allergen risk management;</w:t>
      </w:r>
    </w:p>
    <w:p w14:paraId="19E098BD" w14:textId="77777777" w:rsidR="008A0BF7" w:rsidRDefault="00D00288" w:rsidP="00D00288">
      <w:pPr>
        <w:pStyle w:val="ListBullet"/>
        <w:jc w:val="both"/>
        <w:rPr>
          <w:rFonts w:hint="eastAsia"/>
        </w:rPr>
      </w:pPr>
      <w:r>
        <w:t>guessing whether food is safe where reliable ingredient/allergen information is unavailable.</w:t>
      </w:r>
    </w:p>
    <w:p w14:paraId="585043E7" w14:textId="77777777" w:rsidR="008A0BF7" w:rsidRDefault="00D00288" w:rsidP="00D00288">
      <w:pPr>
        <w:pStyle w:val="Heading1"/>
        <w:jc w:val="both"/>
      </w:pPr>
      <w:r>
        <w:t>18. Monitoring, Publication and Review</w:t>
      </w:r>
    </w:p>
    <w:p w14:paraId="1A49EC6E" w14:textId="77777777" w:rsidR="008A0BF7" w:rsidRDefault="00D00288" w:rsidP="00D00288">
      <w:pPr>
        <w:jc w:val="both"/>
        <w:rPr>
          <w:rFonts w:hint="eastAsia"/>
        </w:rPr>
      </w:pPr>
      <w:r>
        <w:t>The Headteacher will monitor implementation of this policy. The Governing Body will receive appropriate assurance about allergy safety, including training, emergency medication, individual planning and lessons from serious incidents/near misses.</w:t>
      </w:r>
    </w:p>
    <w:p w14:paraId="210006F0" w14:textId="77777777" w:rsidR="008A0BF7" w:rsidRDefault="00D00288" w:rsidP="00D00288">
      <w:pPr>
        <w:jc w:val="both"/>
        <w:rPr>
          <w:rFonts w:hint="eastAsia"/>
        </w:rPr>
      </w:pPr>
      <w:r>
        <w:lastRenderedPageBreak/>
        <w:t>The policy will be published on the school website, made available in hard copy on request and publicised to staff, pupils and parents in an age- and role-appropriate way.</w:t>
      </w:r>
    </w:p>
    <w:p w14:paraId="1916E9E6" w14:textId="77777777" w:rsidR="008A0BF7" w:rsidRDefault="00D00288" w:rsidP="00D00288">
      <w:pPr>
        <w:jc w:val="both"/>
        <w:rPr>
          <w:rFonts w:hint="eastAsia"/>
        </w:rPr>
      </w:pPr>
      <w:r>
        <w:t>The policy will be formally reviewed at least annually, with the next scheduled review in September 2027. It will be reviewed sooner following a serious incident or significant near miss, a material change in a pupil’s needs or school arrangements, or a change in statutory/national guidance.</w:t>
      </w:r>
    </w:p>
    <w:p w14:paraId="1F17E5B0" w14:textId="77777777" w:rsidR="008A0BF7" w:rsidRDefault="00D00288">
      <w:pPr>
        <w:pStyle w:val="Heading1"/>
      </w:pPr>
      <w:r>
        <w:t>Appendix 1 – Staff Quick Guide: Allergic Reaction / Anaphylaxis</w:t>
      </w:r>
    </w:p>
    <w:p w14:paraId="72D34F33" w14:textId="77777777" w:rsidR="008A0BF7" w:rsidRDefault="00D00288">
      <w:pPr>
        <w:pStyle w:val="ManudenAlert"/>
        <w:rPr>
          <w:rFonts w:hint="eastAsia"/>
        </w:rPr>
      </w:pPr>
      <w:r>
        <w:t>IF THERE ARE AIRWAY, BREATHING OR CIRCULATION SYMPTOMS – OR IF YOU ARE IN DOUBT – GIVE ADRENALINE.</w:t>
      </w:r>
    </w:p>
    <w:tbl>
      <w:tblPr>
        <w:tblW w:w="0" w:type="auto"/>
        <w:jc w:val="center"/>
        <w:tblLayout w:type="fixed"/>
        <w:tblLook w:val="04A0" w:firstRow="1" w:lastRow="0" w:firstColumn="1" w:lastColumn="0" w:noHBand="0" w:noVBand="1"/>
      </w:tblPr>
      <w:tblGrid>
        <w:gridCol w:w="5083"/>
        <w:gridCol w:w="5083"/>
      </w:tblGrid>
      <w:tr w:rsidR="008A0BF7" w14:paraId="58113E9C" w14:textId="77777777">
        <w:trPr>
          <w:cantSplit/>
          <w:tblHeader/>
          <w:jc w:val="center"/>
        </w:trPr>
        <w:tc>
          <w:tcPr>
            <w:tcW w:w="5083" w:type="dxa"/>
            <w:tcBorders>
              <w:top w:val="single" w:sz="5" w:space="0" w:color="3E2B8F"/>
              <w:left w:val="single" w:sz="5" w:space="0" w:color="3E2B8F"/>
              <w:bottom w:val="single" w:sz="5" w:space="0" w:color="3E2B8F"/>
              <w:right w:val="single" w:sz="5" w:space="0" w:color="3E2B8F"/>
            </w:tcBorders>
            <w:shd w:val="clear" w:color="auto" w:fill="3E2B8F"/>
            <w:tcMar>
              <w:top w:w="90" w:type="dxa"/>
              <w:left w:w="110" w:type="dxa"/>
              <w:bottom w:w="90" w:type="dxa"/>
              <w:right w:w="110" w:type="dxa"/>
            </w:tcMar>
          </w:tcPr>
          <w:p w14:paraId="2F92558F" w14:textId="77777777" w:rsidR="008A0BF7" w:rsidRDefault="00D00288">
            <w:pPr>
              <w:rPr>
                <w:rFonts w:hint="eastAsia"/>
              </w:rPr>
            </w:pPr>
            <w:r>
              <w:rPr>
                <w:rFonts w:eastAsia="Aptos"/>
                <w:b/>
                <w:color w:val="FFFFFF"/>
                <w:sz w:val="18"/>
              </w:rPr>
              <w:t>Category</w:t>
            </w:r>
          </w:p>
        </w:tc>
        <w:tc>
          <w:tcPr>
            <w:tcW w:w="5083" w:type="dxa"/>
            <w:tcBorders>
              <w:top w:val="single" w:sz="5" w:space="0" w:color="3E2B8F"/>
              <w:left w:val="single" w:sz="5" w:space="0" w:color="3E2B8F"/>
              <w:bottom w:val="single" w:sz="5" w:space="0" w:color="3E2B8F"/>
              <w:right w:val="single" w:sz="5" w:space="0" w:color="3E2B8F"/>
            </w:tcBorders>
            <w:shd w:val="clear" w:color="auto" w:fill="3E2B8F"/>
            <w:tcMar>
              <w:top w:w="90" w:type="dxa"/>
              <w:left w:w="110" w:type="dxa"/>
              <w:bottom w:w="90" w:type="dxa"/>
              <w:right w:w="110" w:type="dxa"/>
            </w:tcMar>
          </w:tcPr>
          <w:p w14:paraId="1BE91682" w14:textId="77777777" w:rsidR="008A0BF7" w:rsidRDefault="00D00288">
            <w:pPr>
              <w:rPr>
                <w:rFonts w:hint="eastAsia"/>
              </w:rPr>
            </w:pPr>
            <w:r>
              <w:rPr>
                <w:rFonts w:eastAsia="Aptos"/>
                <w:b/>
                <w:color w:val="FFFFFF"/>
                <w:sz w:val="18"/>
              </w:rPr>
              <w:t>Examples</w:t>
            </w:r>
          </w:p>
        </w:tc>
      </w:tr>
      <w:tr w:rsidR="008A0BF7" w14:paraId="560A9B93"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8"/>
            <w:tcMar>
              <w:top w:w="90" w:type="dxa"/>
              <w:left w:w="110" w:type="dxa"/>
              <w:bottom w:w="90" w:type="dxa"/>
              <w:right w:w="110" w:type="dxa"/>
            </w:tcMar>
            <w:vAlign w:val="center"/>
          </w:tcPr>
          <w:p w14:paraId="289BC828" w14:textId="77777777" w:rsidR="008A0BF7" w:rsidRDefault="00D00288">
            <w:pPr>
              <w:rPr>
                <w:rFonts w:hint="eastAsia"/>
              </w:rPr>
            </w:pPr>
            <w:r>
              <w:rPr>
                <w:rFonts w:eastAsia="Aptos"/>
                <w:b/>
                <w:sz w:val="18"/>
              </w:rPr>
              <w:t>Mild/moderate signs</w:t>
            </w:r>
          </w:p>
        </w:tc>
        <w:tc>
          <w:tcPr>
            <w:tcW w:w="5083" w:type="dxa"/>
            <w:tcBorders>
              <w:top w:val="single" w:sz="5" w:space="0" w:color="D8DCE3"/>
              <w:left w:val="single" w:sz="5" w:space="0" w:color="D8DCE3"/>
              <w:bottom w:val="single" w:sz="5" w:space="0" w:color="D8DCE3"/>
              <w:right w:val="single" w:sz="5" w:space="0" w:color="D8DCE3"/>
            </w:tcBorders>
            <w:tcMar>
              <w:top w:w="90" w:type="dxa"/>
              <w:left w:w="110" w:type="dxa"/>
              <w:bottom w:w="90" w:type="dxa"/>
              <w:right w:w="110" w:type="dxa"/>
            </w:tcMar>
            <w:vAlign w:val="center"/>
          </w:tcPr>
          <w:p w14:paraId="7B5A6611" w14:textId="77777777" w:rsidR="008A0BF7" w:rsidRDefault="00D00288">
            <w:pPr>
              <w:rPr>
                <w:rFonts w:hint="eastAsia"/>
              </w:rPr>
            </w:pPr>
            <w:r>
              <w:rPr>
                <w:rFonts w:eastAsia="Aptos"/>
                <w:sz w:val="18"/>
              </w:rPr>
              <w:t xml:space="preserve">Swollen lips/face/eyes; itchy/tingling mouth; hives/rash; stomach pain/vomiting; mild throat symptoms; sudden </w:t>
            </w:r>
            <w:r>
              <w:rPr>
                <w:rFonts w:eastAsia="Aptos"/>
                <w:sz w:val="18"/>
              </w:rPr>
              <w:t>behaviour change.</w:t>
            </w:r>
          </w:p>
        </w:tc>
      </w:tr>
      <w:tr w:rsidR="008A0BF7" w14:paraId="39FC74C8"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8"/>
            <w:tcMar>
              <w:top w:w="90" w:type="dxa"/>
              <w:left w:w="110" w:type="dxa"/>
              <w:bottom w:w="90" w:type="dxa"/>
              <w:right w:w="110" w:type="dxa"/>
            </w:tcMar>
            <w:vAlign w:val="center"/>
          </w:tcPr>
          <w:p w14:paraId="6FFF4AEA" w14:textId="77777777" w:rsidR="008A0BF7" w:rsidRDefault="00D00288">
            <w:pPr>
              <w:rPr>
                <w:rFonts w:hint="eastAsia"/>
              </w:rPr>
            </w:pPr>
            <w:r>
              <w:rPr>
                <w:rFonts w:eastAsia="Aptos"/>
                <w:b/>
                <w:sz w:val="18"/>
              </w:rPr>
              <w:t>AIRWAY</w:t>
            </w:r>
          </w:p>
        </w:tc>
        <w:tc>
          <w:tcPr>
            <w:tcW w:w="5083" w:type="dxa"/>
            <w:tcBorders>
              <w:top w:val="single" w:sz="5" w:space="0" w:color="D8DCE3"/>
              <w:left w:val="single" w:sz="5" w:space="0" w:color="D8DCE3"/>
              <w:bottom w:val="single" w:sz="5" w:space="0" w:color="D8DCE3"/>
              <w:right w:val="single" w:sz="5" w:space="0" w:color="D8DCE3"/>
            </w:tcBorders>
            <w:tcMar>
              <w:top w:w="90" w:type="dxa"/>
              <w:left w:w="110" w:type="dxa"/>
              <w:bottom w:w="90" w:type="dxa"/>
              <w:right w:w="110" w:type="dxa"/>
            </w:tcMar>
            <w:vAlign w:val="center"/>
          </w:tcPr>
          <w:p w14:paraId="2FE9DE28" w14:textId="77777777" w:rsidR="008A0BF7" w:rsidRDefault="00D00288">
            <w:pPr>
              <w:rPr>
                <w:rFonts w:hint="eastAsia"/>
              </w:rPr>
            </w:pPr>
            <w:r>
              <w:rPr>
                <w:rFonts w:eastAsia="Aptos"/>
                <w:sz w:val="18"/>
              </w:rPr>
              <w:t>Throat/tongue swelling, tight throat, hoarse voice, difficulty swallowing.</w:t>
            </w:r>
          </w:p>
        </w:tc>
      </w:tr>
      <w:tr w:rsidR="008A0BF7" w14:paraId="30FAD181"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8"/>
            <w:tcMar>
              <w:top w:w="90" w:type="dxa"/>
              <w:left w:w="110" w:type="dxa"/>
              <w:bottom w:w="90" w:type="dxa"/>
              <w:right w:w="110" w:type="dxa"/>
            </w:tcMar>
            <w:vAlign w:val="center"/>
          </w:tcPr>
          <w:p w14:paraId="2518E4BD" w14:textId="77777777" w:rsidR="008A0BF7" w:rsidRDefault="00D00288">
            <w:pPr>
              <w:rPr>
                <w:rFonts w:hint="eastAsia"/>
              </w:rPr>
            </w:pPr>
            <w:r>
              <w:rPr>
                <w:rFonts w:eastAsia="Aptos"/>
                <w:b/>
                <w:sz w:val="18"/>
              </w:rPr>
              <w:t>BREATHING</w:t>
            </w:r>
          </w:p>
        </w:tc>
        <w:tc>
          <w:tcPr>
            <w:tcW w:w="5083" w:type="dxa"/>
            <w:tcBorders>
              <w:top w:val="single" w:sz="5" w:space="0" w:color="D8DCE3"/>
              <w:left w:val="single" w:sz="5" w:space="0" w:color="D8DCE3"/>
              <w:bottom w:val="single" w:sz="5" w:space="0" w:color="D8DCE3"/>
              <w:right w:val="single" w:sz="5" w:space="0" w:color="D8DCE3"/>
            </w:tcBorders>
            <w:tcMar>
              <w:top w:w="90" w:type="dxa"/>
              <w:left w:w="110" w:type="dxa"/>
              <w:bottom w:w="90" w:type="dxa"/>
              <w:right w:w="110" w:type="dxa"/>
            </w:tcMar>
            <w:vAlign w:val="center"/>
          </w:tcPr>
          <w:p w14:paraId="470BF675" w14:textId="77777777" w:rsidR="008A0BF7" w:rsidRDefault="00D00288">
            <w:pPr>
              <w:rPr>
                <w:rFonts w:hint="eastAsia"/>
              </w:rPr>
            </w:pPr>
            <w:r>
              <w:rPr>
                <w:rFonts w:eastAsia="Aptos"/>
                <w:sz w:val="18"/>
              </w:rPr>
              <w:t>Sudden wheeze, difficulty breathing, persistent cough, noisy breathing.</w:t>
            </w:r>
          </w:p>
        </w:tc>
      </w:tr>
      <w:tr w:rsidR="008A0BF7" w14:paraId="4D237BC0"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8"/>
            <w:tcMar>
              <w:top w:w="90" w:type="dxa"/>
              <w:left w:w="110" w:type="dxa"/>
              <w:bottom w:w="90" w:type="dxa"/>
              <w:right w:w="110" w:type="dxa"/>
            </w:tcMar>
            <w:vAlign w:val="center"/>
          </w:tcPr>
          <w:p w14:paraId="21440407" w14:textId="77777777" w:rsidR="008A0BF7" w:rsidRDefault="00D00288">
            <w:pPr>
              <w:rPr>
                <w:rFonts w:hint="eastAsia"/>
              </w:rPr>
            </w:pPr>
            <w:r>
              <w:rPr>
                <w:rFonts w:eastAsia="Aptos"/>
                <w:b/>
                <w:sz w:val="18"/>
              </w:rPr>
              <w:t>CIRCULATION</w:t>
            </w:r>
          </w:p>
        </w:tc>
        <w:tc>
          <w:tcPr>
            <w:tcW w:w="5083" w:type="dxa"/>
            <w:tcBorders>
              <w:top w:val="single" w:sz="5" w:space="0" w:color="D8DCE3"/>
              <w:left w:val="single" w:sz="5" w:space="0" w:color="D8DCE3"/>
              <w:bottom w:val="single" w:sz="5" w:space="0" w:color="D8DCE3"/>
              <w:right w:val="single" w:sz="5" w:space="0" w:color="D8DCE3"/>
            </w:tcBorders>
            <w:tcMar>
              <w:top w:w="90" w:type="dxa"/>
              <w:left w:w="110" w:type="dxa"/>
              <w:bottom w:w="90" w:type="dxa"/>
              <w:right w:w="110" w:type="dxa"/>
            </w:tcMar>
            <w:vAlign w:val="center"/>
          </w:tcPr>
          <w:p w14:paraId="495B42EE" w14:textId="77777777" w:rsidR="008A0BF7" w:rsidRDefault="00D00288">
            <w:pPr>
              <w:rPr>
                <w:rFonts w:hint="eastAsia"/>
              </w:rPr>
            </w:pPr>
            <w:r>
              <w:rPr>
                <w:rFonts w:eastAsia="Aptos"/>
                <w:sz w:val="18"/>
              </w:rPr>
              <w:t>Dizzy/faint, confused/suddenly sleepy, pale/clammy, collapse/unconscious.</w:t>
            </w:r>
          </w:p>
        </w:tc>
      </w:tr>
    </w:tbl>
    <w:p w14:paraId="654F660A" w14:textId="77777777" w:rsidR="008A0BF7" w:rsidRDefault="00D00288">
      <w:pPr>
        <w:pStyle w:val="ManudenProcess"/>
        <w:rPr>
          <w:rFonts w:hint="eastAsia"/>
        </w:rPr>
      </w:pPr>
      <w:r>
        <w:t>ADRENALINE NOW  →  999 “ANAPHYLAXIS”  →  DO NOT STAND/WALK  →  SECOND DOSE AFTER 5 MIN IF NEEDED</w:t>
      </w:r>
    </w:p>
    <w:p w14:paraId="320A800D" w14:textId="77777777" w:rsidR="008A0BF7" w:rsidRDefault="00D00288">
      <w:pPr>
        <w:rPr>
          <w:rFonts w:hint="eastAsia"/>
        </w:rPr>
      </w:pPr>
      <w:r>
        <w:t>Remember:</w:t>
      </w:r>
    </w:p>
    <w:p w14:paraId="57DF3435" w14:textId="77777777" w:rsidR="008A0BF7" w:rsidRDefault="00D00288">
      <w:pPr>
        <w:pStyle w:val="ListBullet"/>
        <w:rPr>
          <w:rFonts w:hint="eastAsia"/>
        </w:rPr>
      </w:pPr>
      <w:r>
        <w:t>Bring the medicine to the pupil – never send the pupil to fetch it.</w:t>
      </w:r>
    </w:p>
    <w:p w14:paraId="28E2CC04" w14:textId="77777777" w:rsidR="008A0BF7" w:rsidRDefault="00D00288">
      <w:pPr>
        <w:pStyle w:val="ListBullet"/>
        <w:rPr>
          <w:rFonts w:hint="eastAsia"/>
        </w:rPr>
      </w:pPr>
      <w:r>
        <w:t xml:space="preserve">Use the pupil’s own adrenaline first if immediately </w:t>
      </w:r>
      <w:r>
        <w:t>available; otherwise use the appropriate spare AAI.</w:t>
      </w:r>
    </w:p>
    <w:p w14:paraId="1FB98B79" w14:textId="77777777" w:rsidR="008A0BF7" w:rsidRDefault="00D00288">
      <w:pPr>
        <w:pStyle w:val="ListBullet"/>
        <w:rPr>
          <w:rFonts w:hint="eastAsia"/>
        </w:rPr>
      </w:pPr>
      <w:r>
        <w:t>Spare AAIs: STAFF ROOM – clearly marked emergency anaphylaxis kit – NOT locked.</w:t>
      </w:r>
    </w:p>
    <w:p w14:paraId="2C286884" w14:textId="77777777" w:rsidR="008A0BF7" w:rsidRDefault="00D00288">
      <w:pPr>
        <w:pStyle w:val="ListBullet"/>
        <w:rPr>
          <w:rFonts w:hint="eastAsia"/>
        </w:rPr>
      </w:pPr>
      <w:r>
        <w:t>Pupil prescribed AAIs/Action Plan: classroom emergency medication pack unless the IHP/self-carry arrangements state otherwise.</w:t>
      </w:r>
    </w:p>
    <w:p w14:paraId="253E5557" w14:textId="77777777" w:rsidR="008A0BF7" w:rsidRDefault="00D00288">
      <w:pPr>
        <w:pStyle w:val="ListBullet"/>
        <w:rPr>
          <w:rFonts w:hint="eastAsia"/>
        </w:rPr>
      </w:pPr>
      <w:r>
        <w:t>Call parents after adrenaline and 999 have been initiated.</w:t>
      </w:r>
    </w:p>
    <w:p w14:paraId="635CA5B9" w14:textId="77777777" w:rsidR="008A0BF7" w:rsidRDefault="00D00288">
      <w:pPr>
        <w:pStyle w:val="ListBullet"/>
        <w:rPr>
          <w:rFonts w:hint="eastAsia"/>
        </w:rPr>
      </w:pPr>
      <w:r>
        <w:t>All anaphylaxis cases go to hospital by ambulance.</w:t>
      </w:r>
    </w:p>
    <w:p w14:paraId="744E901B" w14:textId="77777777" w:rsidR="008A0BF7" w:rsidRDefault="00D00288">
      <w:pPr>
        <w:pStyle w:val="ListBullet"/>
        <w:rPr>
          <w:rFonts w:hint="eastAsia"/>
        </w:rPr>
      </w:pPr>
      <w:r>
        <w:t>Record and report the incident/near miss and inform the Headteacher.</w:t>
      </w:r>
    </w:p>
    <w:p w14:paraId="04FB5D37" w14:textId="77777777" w:rsidR="008A0BF7" w:rsidRDefault="00D00288">
      <w:pPr>
        <w:pStyle w:val="Heading1"/>
      </w:pPr>
      <w:r>
        <w:t>Appendix 2 – Spare AAI Management Check</w:t>
      </w:r>
    </w:p>
    <w:p w14:paraId="3A33AEC5" w14:textId="77777777" w:rsidR="008A0BF7" w:rsidRDefault="00D00288">
      <w:pPr>
        <w:rPr>
          <w:rFonts w:hint="eastAsia"/>
        </w:rPr>
      </w:pPr>
      <w:r>
        <w:t>The Headteacher / School Business Manager should complete and retain a regular check of the staff-room spare AAI kit. A school record may use the following headings:</w:t>
      </w:r>
    </w:p>
    <w:tbl>
      <w:tblPr>
        <w:tblW w:w="0" w:type="auto"/>
        <w:jc w:val="center"/>
        <w:tblLayout w:type="fixed"/>
        <w:tblLook w:val="04A0" w:firstRow="1" w:lastRow="0" w:firstColumn="1" w:lastColumn="0" w:noHBand="0" w:noVBand="1"/>
      </w:tblPr>
      <w:tblGrid>
        <w:gridCol w:w="5083"/>
        <w:gridCol w:w="5083"/>
      </w:tblGrid>
      <w:tr w:rsidR="008A0BF7" w14:paraId="0AC96855" w14:textId="77777777">
        <w:trPr>
          <w:cantSplit/>
          <w:tblHeader/>
          <w:jc w:val="center"/>
        </w:trPr>
        <w:tc>
          <w:tcPr>
            <w:tcW w:w="5083" w:type="dxa"/>
            <w:tcBorders>
              <w:top w:val="single" w:sz="5" w:space="0" w:color="3E2B8F"/>
              <w:left w:val="single" w:sz="5" w:space="0" w:color="3E2B8F"/>
              <w:bottom w:val="single" w:sz="5" w:space="0" w:color="3E2B8F"/>
              <w:right w:val="single" w:sz="5" w:space="0" w:color="3E2B8F"/>
            </w:tcBorders>
            <w:shd w:val="clear" w:color="auto" w:fill="3E2B8F"/>
            <w:tcMar>
              <w:top w:w="90" w:type="dxa"/>
              <w:left w:w="110" w:type="dxa"/>
              <w:bottom w:w="90" w:type="dxa"/>
              <w:right w:w="110" w:type="dxa"/>
            </w:tcMar>
          </w:tcPr>
          <w:p w14:paraId="6BC48059" w14:textId="77777777" w:rsidR="008A0BF7" w:rsidRDefault="00D00288">
            <w:pPr>
              <w:rPr>
                <w:rFonts w:hint="eastAsia"/>
              </w:rPr>
            </w:pPr>
            <w:r>
              <w:rPr>
                <w:rFonts w:eastAsia="Aptos"/>
                <w:b/>
                <w:color w:val="FFFFFF"/>
                <w:sz w:val="18"/>
              </w:rPr>
              <w:t>Item</w:t>
            </w:r>
          </w:p>
        </w:tc>
        <w:tc>
          <w:tcPr>
            <w:tcW w:w="5083" w:type="dxa"/>
            <w:tcBorders>
              <w:top w:val="single" w:sz="5" w:space="0" w:color="3E2B8F"/>
              <w:left w:val="single" w:sz="5" w:space="0" w:color="3E2B8F"/>
              <w:bottom w:val="single" w:sz="5" w:space="0" w:color="3E2B8F"/>
              <w:right w:val="single" w:sz="5" w:space="0" w:color="3E2B8F"/>
            </w:tcBorders>
            <w:shd w:val="clear" w:color="auto" w:fill="3E2B8F"/>
            <w:tcMar>
              <w:top w:w="90" w:type="dxa"/>
              <w:left w:w="110" w:type="dxa"/>
              <w:bottom w:w="90" w:type="dxa"/>
              <w:right w:w="110" w:type="dxa"/>
            </w:tcMar>
          </w:tcPr>
          <w:p w14:paraId="6C7CCCCB" w14:textId="77777777" w:rsidR="008A0BF7" w:rsidRDefault="00D00288">
            <w:pPr>
              <w:rPr>
                <w:rFonts w:hint="eastAsia"/>
              </w:rPr>
            </w:pPr>
            <w:r>
              <w:rPr>
                <w:rFonts w:eastAsia="Aptos"/>
                <w:b/>
                <w:color w:val="FFFFFF"/>
                <w:sz w:val="18"/>
              </w:rPr>
              <w:t>Requirement</w:t>
            </w:r>
          </w:p>
        </w:tc>
      </w:tr>
      <w:tr w:rsidR="008A0BF7" w14:paraId="6E15EFAB"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8"/>
            <w:tcMar>
              <w:top w:w="90" w:type="dxa"/>
              <w:left w:w="110" w:type="dxa"/>
              <w:bottom w:w="90" w:type="dxa"/>
              <w:right w:w="110" w:type="dxa"/>
            </w:tcMar>
            <w:vAlign w:val="center"/>
          </w:tcPr>
          <w:p w14:paraId="6BB43D99" w14:textId="77777777" w:rsidR="008A0BF7" w:rsidRDefault="00D00288">
            <w:pPr>
              <w:rPr>
                <w:rFonts w:hint="eastAsia"/>
              </w:rPr>
            </w:pPr>
            <w:r>
              <w:rPr>
                <w:rFonts w:eastAsia="Aptos"/>
                <w:b/>
                <w:sz w:val="18"/>
              </w:rPr>
              <w:t>Location</w:t>
            </w:r>
          </w:p>
        </w:tc>
        <w:tc>
          <w:tcPr>
            <w:tcW w:w="5083" w:type="dxa"/>
            <w:tcBorders>
              <w:top w:val="single" w:sz="5" w:space="0" w:color="D8DCE3"/>
              <w:left w:val="single" w:sz="5" w:space="0" w:color="D8DCE3"/>
              <w:bottom w:val="single" w:sz="5" w:space="0" w:color="D8DCE3"/>
              <w:right w:val="single" w:sz="5" w:space="0" w:color="D8DCE3"/>
            </w:tcBorders>
            <w:tcMar>
              <w:top w:w="90" w:type="dxa"/>
              <w:left w:w="110" w:type="dxa"/>
              <w:bottom w:w="90" w:type="dxa"/>
              <w:right w:w="110" w:type="dxa"/>
            </w:tcMar>
            <w:vAlign w:val="center"/>
          </w:tcPr>
          <w:p w14:paraId="7CAC03AD" w14:textId="77777777" w:rsidR="008A0BF7" w:rsidRDefault="00D00288">
            <w:pPr>
              <w:rPr>
                <w:rFonts w:hint="eastAsia"/>
              </w:rPr>
            </w:pPr>
            <w:r>
              <w:rPr>
                <w:rFonts w:eastAsia="Aptos"/>
                <w:sz w:val="18"/>
              </w:rPr>
              <w:t>Staff room – central emergency anaphylaxis kit</w:t>
            </w:r>
          </w:p>
        </w:tc>
      </w:tr>
      <w:tr w:rsidR="008A0BF7" w14:paraId="0FB08A77"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8"/>
            <w:tcMar>
              <w:top w:w="90" w:type="dxa"/>
              <w:left w:w="110" w:type="dxa"/>
              <w:bottom w:w="90" w:type="dxa"/>
              <w:right w:w="110" w:type="dxa"/>
            </w:tcMar>
            <w:vAlign w:val="center"/>
          </w:tcPr>
          <w:p w14:paraId="5A985BA5" w14:textId="77777777" w:rsidR="008A0BF7" w:rsidRDefault="00D00288">
            <w:pPr>
              <w:rPr>
                <w:rFonts w:hint="eastAsia"/>
              </w:rPr>
            </w:pPr>
            <w:r>
              <w:rPr>
                <w:rFonts w:eastAsia="Aptos"/>
                <w:b/>
                <w:sz w:val="18"/>
              </w:rPr>
              <w:t>Accessibility</w:t>
            </w:r>
          </w:p>
        </w:tc>
        <w:tc>
          <w:tcPr>
            <w:tcW w:w="5083" w:type="dxa"/>
            <w:tcBorders>
              <w:top w:val="single" w:sz="5" w:space="0" w:color="D8DCE3"/>
              <w:left w:val="single" w:sz="5" w:space="0" w:color="D8DCE3"/>
              <w:bottom w:val="single" w:sz="5" w:space="0" w:color="D8DCE3"/>
              <w:right w:val="single" w:sz="5" w:space="0" w:color="D8DCE3"/>
            </w:tcBorders>
            <w:tcMar>
              <w:top w:w="90" w:type="dxa"/>
              <w:left w:w="110" w:type="dxa"/>
              <w:bottom w:w="90" w:type="dxa"/>
              <w:right w:w="110" w:type="dxa"/>
            </w:tcMar>
            <w:vAlign w:val="center"/>
          </w:tcPr>
          <w:p w14:paraId="2200B1C5" w14:textId="77777777" w:rsidR="008A0BF7" w:rsidRDefault="00D00288">
            <w:pPr>
              <w:rPr>
                <w:rFonts w:hint="eastAsia"/>
              </w:rPr>
            </w:pPr>
            <w:r>
              <w:rPr>
                <w:rFonts w:eastAsia="Aptos"/>
                <w:sz w:val="18"/>
              </w:rPr>
              <w:t xml:space="preserve">Not locked; all relevant staff </w:t>
            </w:r>
            <w:r>
              <w:rPr>
                <w:rFonts w:eastAsia="Aptos"/>
                <w:sz w:val="18"/>
              </w:rPr>
              <w:t>can access while pupils are on site</w:t>
            </w:r>
          </w:p>
        </w:tc>
      </w:tr>
      <w:tr w:rsidR="008A0BF7" w14:paraId="4EFFEDC8"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8"/>
            <w:tcMar>
              <w:top w:w="90" w:type="dxa"/>
              <w:left w:w="110" w:type="dxa"/>
              <w:bottom w:w="90" w:type="dxa"/>
              <w:right w:w="110" w:type="dxa"/>
            </w:tcMar>
            <w:vAlign w:val="center"/>
          </w:tcPr>
          <w:p w14:paraId="02BCBE0B" w14:textId="77777777" w:rsidR="008A0BF7" w:rsidRDefault="00D00288">
            <w:pPr>
              <w:rPr>
                <w:rFonts w:hint="eastAsia"/>
              </w:rPr>
            </w:pPr>
            <w:r>
              <w:rPr>
                <w:rFonts w:eastAsia="Aptos"/>
                <w:b/>
                <w:sz w:val="18"/>
              </w:rPr>
              <w:lastRenderedPageBreak/>
              <w:t>Contents</w:t>
            </w:r>
          </w:p>
        </w:tc>
        <w:tc>
          <w:tcPr>
            <w:tcW w:w="5083" w:type="dxa"/>
            <w:tcBorders>
              <w:top w:val="single" w:sz="5" w:space="0" w:color="D8DCE3"/>
              <w:left w:val="single" w:sz="5" w:space="0" w:color="D8DCE3"/>
              <w:bottom w:val="single" w:sz="5" w:space="0" w:color="D8DCE3"/>
              <w:right w:val="single" w:sz="5" w:space="0" w:color="D8DCE3"/>
            </w:tcBorders>
            <w:tcMar>
              <w:top w:w="90" w:type="dxa"/>
              <w:left w:w="110" w:type="dxa"/>
              <w:bottom w:w="90" w:type="dxa"/>
              <w:right w:w="110" w:type="dxa"/>
            </w:tcMar>
            <w:vAlign w:val="center"/>
          </w:tcPr>
          <w:p w14:paraId="1DD35210" w14:textId="77777777" w:rsidR="008A0BF7" w:rsidRDefault="00D00288">
            <w:pPr>
              <w:rPr>
                <w:rFonts w:hint="eastAsia"/>
              </w:rPr>
            </w:pPr>
            <w:r>
              <w:rPr>
                <w:rFonts w:eastAsia="Aptos"/>
                <w:sz w:val="18"/>
              </w:rPr>
              <w:t>One pair 150 microgram AAIs; one pair 300 microgram AAIs (or current nationally recommended equivalents)</w:t>
            </w:r>
          </w:p>
        </w:tc>
      </w:tr>
      <w:tr w:rsidR="008A0BF7" w14:paraId="24E954DE"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8"/>
            <w:tcMar>
              <w:top w:w="90" w:type="dxa"/>
              <w:left w:w="110" w:type="dxa"/>
              <w:bottom w:w="90" w:type="dxa"/>
              <w:right w:w="110" w:type="dxa"/>
            </w:tcMar>
            <w:vAlign w:val="center"/>
          </w:tcPr>
          <w:p w14:paraId="4B51E474" w14:textId="77777777" w:rsidR="008A0BF7" w:rsidRDefault="00D00288">
            <w:pPr>
              <w:rPr>
                <w:rFonts w:hint="eastAsia"/>
              </w:rPr>
            </w:pPr>
            <w:r>
              <w:rPr>
                <w:rFonts w:eastAsia="Aptos"/>
                <w:b/>
                <w:sz w:val="18"/>
              </w:rPr>
              <w:t>Check frequency</w:t>
            </w:r>
          </w:p>
        </w:tc>
        <w:tc>
          <w:tcPr>
            <w:tcW w:w="5083" w:type="dxa"/>
            <w:tcBorders>
              <w:top w:val="single" w:sz="5" w:space="0" w:color="D8DCE3"/>
              <w:left w:val="single" w:sz="5" w:space="0" w:color="D8DCE3"/>
              <w:bottom w:val="single" w:sz="5" w:space="0" w:color="D8DCE3"/>
              <w:right w:val="single" w:sz="5" w:space="0" w:color="D8DCE3"/>
            </w:tcBorders>
            <w:tcMar>
              <w:top w:w="90" w:type="dxa"/>
              <w:left w:w="110" w:type="dxa"/>
              <w:bottom w:w="90" w:type="dxa"/>
              <w:right w:w="110" w:type="dxa"/>
            </w:tcMar>
            <w:vAlign w:val="center"/>
          </w:tcPr>
          <w:p w14:paraId="1FB604F8" w14:textId="77777777" w:rsidR="008A0BF7" w:rsidRDefault="00D00288">
            <w:pPr>
              <w:rPr>
                <w:rFonts w:hint="eastAsia"/>
              </w:rPr>
            </w:pPr>
            <w:r>
              <w:rPr>
                <w:rFonts w:eastAsia="Aptos"/>
                <w:sz w:val="18"/>
              </w:rPr>
              <w:t>At least monthly and immediately after any use</w:t>
            </w:r>
          </w:p>
        </w:tc>
      </w:tr>
      <w:tr w:rsidR="008A0BF7" w14:paraId="7AE9AC5F"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8"/>
            <w:tcMar>
              <w:top w:w="90" w:type="dxa"/>
              <w:left w:w="110" w:type="dxa"/>
              <w:bottom w:w="90" w:type="dxa"/>
              <w:right w:w="110" w:type="dxa"/>
            </w:tcMar>
            <w:vAlign w:val="center"/>
          </w:tcPr>
          <w:p w14:paraId="26699A06" w14:textId="77777777" w:rsidR="008A0BF7" w:rsidRDefault="00D00288">
            <w:pPr>
              <w:rPr>
                <w:rFonts w:hint="eastAsia"/>
              </w:rPr>
            </w:pPr>
            <w:r>
              <w:rPr>
                <w:rFonts w:eastAsia="Aptos"/>
                <w:b/>
                <w:sz w:val="18"/>
              </w:rPr>
              <w:t>Check</w:t>
            </w:r>
          </w:p>
        </w:tc>
        <w:tc>
          <w:tcPr>
            <w:tcW w:w="5083" w:type="dxa"/>
            <w:tcBorders>
              <w:top w:val="single" w:sz="5" w:space="0" w:color="D8DCE3"/>
              <w:left w:val="single" w:sz="5" w:space="0" w:color="D8DCE3"/>
              <w:bottom w:val="single" w:sz="5" w:space="0" w:color="D8DCE3"/>
              <w:right w:val="single" w:sz="5" w:space="0" w:color="D8DCE3"/>
            </w:tcBorders>
            <w:tcMar>
              <w:top w:w="90" w:type="dxa"/>
              <w:left w:w="110" w:type="dxa"/>
              <w:bottom w:w="90" w:type="dxa"/>
              <w:right w:w="110" w:type="dxa"/>
            </w:tcMar>
            <w:vAlign w:val="center"/>
          </w:tcPr>
          <w:p w14:paraId="3C4695B2" w14:textId="77777777" w:rsidR="008A0BF7" w:rsidRDefault="00D00288">
            <w:pPr>
              <w:rPr>
                <w:rFonts w:hint="eastAsia"/>
              </w:rPr>
            </w:pPr>
            <w:r>
              <w:rPr>
                <w:rFonts w:eastAsia="Aptos"/>
                <w:sz w:val="18"/>
              </w:rPr>
              <w:t>Quantity; dosage; expiry dates; packaging/device condition; clear labelling; storage temperature/location</w:t>
            </w:r>
          </w:p>
        </w:tc>
      </w:tr>
      <w:tr w:rsidR="008A0BF7" w14:paraId="3950863F"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8"/>
            <w:tcMar>
              <w:top w:w="90" w:type="dxa"/>
              <w:left w:w="110" w:type="dxa"/>
              <w:bottom w:w="90" w:type="dxa"/>
              <w:right w:w="110" w:type="dxa"/>
            </w:tcMar>
            <w:vAlign w:val="center"/>
          </w:tcPr>
          <w:p w14:paraId="7186A920" w14:textId="77777777" w:rsidR="008A0BF7" w:rsidRDefault="00D00288">
            <w:pPr>
              <w:rPr>
                <w:rFonts w:hint="eastAsia"/>
              </w:rPr>
            </w:pPr>
            <w:r>
              <w:rPr>
                <w:rFonts w:eastAsia="Aptos"/>
                <w:b/>
                <w:sz w:val="18"/>
              </w:rPr>
              <w:t>After use/expiry</w:t>
            </w:r>
          </w:p>
        </w:tc>
        <w:tc>
          <w:tcPr>
            <w:tcW w:w="5083" w:type="dxa"/>
            <w:tcBorders>
              <w:top w:val="single" w:sz="5" w:space="0" w:color="D8DCE3"/>
              <w:left w:val="single" w:sz="5" w:space="0" w:color="D8DCE3"/>
              <w:bottom w:val="single" w:sz="5" w:space="0" w:color="D8DCE3"/>
              <w:right w:val="single" w:sz="5" w:space="0" w:color="D8DCE3"/>
            </w:tcBorders>
            <w:tcMar>
              <w:top w:w="90" w:type="dxa"/>
              <w:left w:w="110" w:type="dxa"/>
              <w:bottom w:w="90" w:type="dxa"/>
              <w:right w:w="110" w:type="dxa"/>
            </w:tcMar>
            <w:vAlign w:val="center"/>
          </w:tcPr>
          <w:p w14:paraId="56133120" w14:textId="77777777" w:rsidR="008A0BF7" w:rsidRDefault="00D00288">
            <w:pPr>
              <w:rPr>
                <w:rFonts w:hint="eastAsia"/>
              </w:rPr>
            </w:pPr>
            <w:r>
              <w:rPr>
                <w:rFonts w:eastAsia="Aptos"/>
                <w:sz w:val="18"/>
              </w:rPr>
              <w:t>Replace promptly; dispose safely through an appropriate route</w:t>
            </w:r>
          </w:p>
        </w:tc>
      </w:tr>
      <w:tr w:rsidR="008A0BF7" w14:paraId="20F42575"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8"/>
            <w:tcMar>
              <w:top w:w="90" w:type="dxa"/>
              <w:left w:w="110" w:type="dxa"/>
              <w:bottom w:w="90" w:type="dxa"/>
              <w:right w:w="110" w:type="dxa"/>
            </w:tcMar>
            <w:vAlign w:val="center"/>
          </w:tcPr>
          <w:p w14:paraId="613AEEC2" w14:textId="77777777" w:rsidR="008A0BF7" w:rsidRDefault="00D00288">
            <w:pPr>
              <w:rPr>
                <w:rFonts w:hint="eastAsia"/>
              </w:rPr>
            </w:pPr>
            <w:r>
              <w:rPr>
                <w:rFonts w:eastAsia="Aptos"/>
                <w:b/>
                <w:sz w:val="18"/>
              </w:rPr>
              <w:t>Record</w:t>
            </w:r>
          </w:p>
        </w:tc>
        <w:tc>
          <w:tcPr>
            <w:tcW w:w="5083" w:type="dxa"/>
            <w:tcBorders>
              <w:top w:val="single" w:sz="5" w:space="0" w:color="D8DCE3"/>
              <w:left w:val="single" w:sz="5" w:space="0" w:color="D8DCE3"/>
              <w:bottom w:val="single" w:sz="5" w:space="0" w:color="D8DCE3"/>
              <w:right w:val="single" w:sz="5" w:space="0" w:color="D8DCE3"/>
            </w:tcBorders>
            <w:tcMar>
              <w:top w:w="90" w:type="dxa"/>
              <w:left w:w="110" w:type="dxa"/>
              <w:bottom w:w="90" w:type="dxa"/>
              <w:right w:w="110" w:type="dxa"/>
            </w:tcMar>
            <w:vAlign w:val="center"/>
          </w:tcPr>
          <w:p w14:paraId="2CE67A72" w14:textId="77777777" w:rsidR="008A0BF7" w:rsidRDefault="00D00288">
            <w:pPr>
              <w:rPr>
                <w:rFonts w:hint="eastAsia"/>
              </w:rPr>
            </w:pPr>
            <w:r>
              <w:rPr>
                <w:rFonts w:eastAsia="Aptos"/>
                <w:sz w:val="18"/>
              </w:rPr>
              <w:t>Date checked; person checking; device/expiry details; action required/completed</w:t>
            </w:r>
          </w:p>
        </w:tc>
      </w:tr>
    </w:tbl>
    <w:p w14:paraId="514DBC44" w14:textId="77777777" w:rsidR="008A0BF7" w:rsidRDefault="00D00288">
      <w:pPr>
        <w:pStyle w:val="Heading1"/>
      </w:pPr>
      <w:r>
        <w:t>Appendix 3 – Key National Resources</w:t>
      </w:r>
    </w:p>
    <w:p w14:paraId="2E3C5079" w14:textId="77777777" w:rsidR="008A0BF7" w:rsidRDefault="00D00288">
      <w:pPr>
        <w:pStyle w:val="ListBullet"/>
        <w:rPr>
          <w:rFonts w:hint="eastAsia"/>
        </w:rPr>
      </w:pPr>
      <w:hyperlink r:id="rId20">
        <w:r>
          <w:rPr>
            <w:color w:val="2F5597"/>
            <w:u w:val="single"/>
          </w:rPr>
          <w:t>DfE Allergy Safety in Schools statutory guidance and template</w:t>
        </w:r>
      </w:hyperlink>
    </w:p>
    <w:p w14:paraId="5AE80EA4" w14:textId="77777777" w:rsidR="008A0BF7" w:rsidRDefault="00D00288">
      <w:pPr>
        <w:pStyle w:val="ListBullet"/>
        <w:rPr>
          <w:rFonts w:hint="eastAsia"/>
        </w:rPr>
      </w:pPr>
      <w:hyperlink r:id="rId21">
        <w:r>
          <w:rPr>
            <w:color w:val="2F5597"/>
            <w:u w:val="single"/>
          </w:rPr>
          <w:t>DHSC emergency AAI guidance for schools</w:t>
        </w:r>
      </w:hyperlink>
    </w:p>
    <w:p w14:paraId="13869DDF" w14:textId="77777777" w:rsidR="008A0BF7" w:rsidRDefault="00D00288">
      <w:pPr>
        <w:pStyle w:val="ListBullet"/>
        <w:rPr>
          <w:rFonts w:hint="eastAsia"/>
        </w:rPr>
      </w:pPr>
      <w:hyperlink r:id="rId22">
        <w:r>
          <w:rPr>
            <w:color w:val="2F5597"/>
            <w:u w:val="single"/>
          </w:rPr>
          <w:t>DfE allergy guidance for school food</w:t>
        </w:r>
      </w:hyperlink>
    </w:p>
    <w:p w14:paraId="2E6323E4" w14:textId="77777777" w:rsidR="008A0BF7" w:rsidRDefault="00D00288">
      <w:pPr>
        <w:pStyle w:val="ListBullet"/>
        <w:rPr>
          <w:rFonts w:hint="eastAsia"/>
        </w:rPr>
      </w:pPr>
      <w:hyperlink r:id="rId23">
        <w:r>
          <w:rPr>
            <w:color w:val="2F5597"/>
            <w:u w:val="single"/>
          </w:rPr>
          <w:t>Food Standards Agency allergen guidance</w:t>
        </w:r>
      </w:hyperlink>
    </w:p>
    <w:p w14:paraId="2C64BE4B" w14:textId="77777777" w:rsidR="008A0BF7" w:rsidRDefault="00D00288">
      <w:pPr>
        <w:pStyle w:val="ListBullet"/>
        <w:rPr>
          <w:rFonts w:hint="eastAsia"/>
        </w:rPr>
      </w:pPr>
      <w:hyperlink r:id="rId24">
        <w:r>
          <w:rPr>
            <w:color w:val="2F5597"/>
            <w:u w:val="single"/>
          </w:rPr>
          <w:t>Spare Pens in Schools / Allergy Action Plans</w:t>
        </w:r>
      </w:hyperlink>
    </w:p>
    <w:sectPr w:rsidR="008A0BF7" w:rsidSect="00034616">
      <w:footerReference w:type="default" r:id="rId25"/>
      <w:pgSz w:w="12240" w:h="15840"/>
      <w:pgMar w:top="893" w:right="1037" w:bottom="893" w:left="1037" w:header="720" w:footer="40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845543" w14:textId="77777777" w:rsidR="00D00288" w:rsidRDefault="00D00288">
      <w:pPr>
        <w:spacing w:after="0" w:line="240" w:lineRule="auto"/>
        <w:rPr>
          <w:rFonts w:hint="eastAsia"/>
        </w:rPr>
      </w:pPr>
      <w:r>
        <w:separator/>
      </w:r>
    </w:p>
  </w:endnote>
  <w:endnote w:type="continuationSeparator" w:id="0">
    <w:p w14:paraId="31B98058" w14:textId="77777777" w:rsidR="00D00288" w:rsidRDefault="00D00288">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ptos">
    <w:altName w:val="Calibri"/>
    <w:charset w:val="00"/>
    <w:family w:val="roman"/>
    <w:pitch w:val="default"/>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Comfortaa">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18E5D" w14:textId="77777777" w:rsidR="008A0BF7" w:rsidRDefault="00D00288">
    <w:pPr>
      <w:pStyle w:val="Footer"/>
      <w:pBdr>
        <w:top w:val="single" w:sz="8" w:space="4" w:color="3E2B8F"/>
      </w:pBdr>
      <w:jc w:val="center"/>
      <w:rPr>
        <w:rFonts w:hint="eastAsia"/>
      </w:rPr>
    </w:pPr>
    <w:r>
      <w:rPr>
        <w:rFonts w:eastAsia="Aptos"/>
        <w:color w:val="5F6674"/>
        <w:sz w:val="15"/>
      </w:rPr>
      <w:t>MANUDEN PRIMARY SCHOOL  |  The Street, Manuden, Bishop’s Stortford, CM23 1DE  |  01279 813370</w:t>
    </w:r>
  </w:p>
  <w:p w14:paraId="7E3F6D08" w14:textId="77777777" w:rsidR="008A0BF7" w:rsidRDefault="00D00288">
    <w:pPr>
      <w:jc w:val="center"/>
      <w:rPr>
        <w:rFonts w:hint="eastAsia"/>
      </w:rPr>
    </w:pPr>
    <w:r>
      <w:rPr>
        <w:rFonts w:eastAsia="Aptos"/>
        <w:color w:val="5F6674"/>
        <w:sz w:val="15"/>
      </w:rPr>
      <w:t>www.manudenprimary.co.uk  |  office@manuden.essex.sch.uk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F0C44C" w14:textId="77777777" w:rsidR="00D00288" w:rsidRDefault="00D00288">
      <w:pPr>
        <w:spacing w:after="0" w:line="240" w:lineRule="auto"/>
        <w:rPr>
          <w:rFonts w:hint="eastAsia"/>
        </w:rPr>
      </w:pPr>
      <w:r>
        <w:separator/>
      </w:r>
    </w:p>
  </w:footnote>
  <w:footnote w:type="continuationSeparator" w:id="0">
    <w:p w14:paraId="6017FB3D" w14:textId="77777777" w:rsidR="00D00288" w:rsidRDefault="00D00288">
      <w:pPr>
        <w:spacing w:after="0" w:line="240" w:lineRule="auto"/>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814906739">
    <w:abstractNumId w:val="8"/>
  </w:num>
  <w:num w:numId="2" w16cid:durableId="939217045">
    <w:abstractNumId w:val="6"/>
  </w:num>
  <w:num w:numId="3" w16cid:durableId="558054378">
    <w:abstractNumId w:val="5"/>
  </w:num>
  <w:num w:numId="4" w16cid:durableId="426116328">
    <w:abstractNumId w:val="4"/>
  </w:num>
  <w:num w:numId="5" w16cid:durableId="1156216473">
    <w:abstractNumId w:val="7"/>
  </w:num>
  <w:num w:numId="6" w16cid:durableId="1232813299">
    <w:abstractNumId w:val="3"/>
  </w:num>
  <w:num w:numId="7" w16cid:durableId="244153531">
    <w:abstractNumId w:val="2"/>
  </w:num>
  <w:num w:numId="8" w16cid:durableId="611670901">
    <w:abstractNumId w:val="1"/>
  </w:num>
  <w:num w:numId="9" w16cid:durableId="5804846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52683E"/>
    <w:rsid w:val="008A0BF7"/>
    <w:rsid w:val="00AA1D8D"/>
    <w:rsid w:val="00B47730"/>
    <w:rsid w:val="00CB0664"/>
    <w:rsid w:val="00D0028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647C144"/>
  <w14:defaultImageDpi w14:val="300"/>
  <w15:docId w15:val="{004A852C-4560-4875-B9B8-287CEC5E5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00" w:line="252" w:lineRule="auto"/>
    </w:pPr>
    <w:rPr>
      <w:rFonts w:ascii="Aptos" w:hAnsi="Aptos"/>
      <w:color w:val="25324A"/>
    </w:rPr>
  </w:style>
  <w:style w:type="paragraph" w:styleId="Heading1">
    <w:name w:val="heading 1"/>
    <w:basedOn w:val="Normal"/>
    <w:next w:val="Normal"/>
    <w:link w:val="Heading1Char"/>
    <w:uiPriority w:val="9"/>
    <w:qFormat/>
    <w:rsid w:val="00FC693F"/>
    <w:pPr>
      <w:keepNext/>
      <w:keepLines/>
      <w:spacing w:before="220" w:after="80"/>
      <w:outlineLvl w:val="0"/>
    </w:pPr>
    <w:rPr>
      <w:rFonts w:asciiTheme="majorHAnsi" w:eastAsiaTheme="majorEastAsia" w:hAnsiTheme="majorHAnsi" w:cstheme="majorBidi"/>
      <w:b/>
      <w:bCs/>
      <w:color w:val="3E2B8F"/>
      <w:sz w:val="28"/>
      <w:szCs w:val="28"/>
    </w:rPr>
  </w:style>
  <w:style w:type="paragraph" w:styleId="Heading2">
    <w:name w:val="heading 2"/>
    <w:basedOn w:val="Normal"/>
    <w:next w:val="Normal"/>
    <w:link w:val="Heading2Char"/>
    <w:uiPriority w:val="9"/>
    <w:unhideWhenUsed/>
    <w:qFormat/>
    <w:rsid w:val="00FC693F"/>
    <w:pPr>
      <w:keepNext/>
      <w:keepLines/>
      <w:spacing w:before="160" w:after="40"/>
      <w:outlineLvl w:val="1"/>
    </w:pPr>
    <w:rPr>
      <w:rFonts w:asciiTheme="majorHAnsi" w:eastAsiaTheme="majorEastAsia" w:hAnsiTheme="majorHAnsi" w:cstheme="majorBidi"/>
      <w:b/>
      <w:bCs/>
      <w:sz w:val="23"/>
      <w:szCs w:val="26"/>
    </w:rPr>
  </w:style>
  <w:style w:type="paragraph" w:styleId="Heading3">
    <w:name w:val="heading 3"/>
    <w:basedOn w:val="Normal"/>
    <w:next w:val="Normal"/>
    <w:link w:val="Heading3Char"/>
    <w:uiPriority w:val="9"/>
    <w:unhideWhenUsed/>
    <w:qFormat/>
    <w:rsid w:val="00FC693F"/>
    <w:pPr>
      <w:keepNext/>
      <w:keepLines/>
      <w:spacing w:before="120" w:after="40"/>
      <w:outlineLvl w:val="2"/>
    </w:pPr>
    <w:rPr>
      <w:rFonts w:asciiTheme="majorHAnsi" w:eastAsiaTheme="majorEastAsia" w:hAnsiTheme="majorHAnsi" w:cstheme="majorBidi"/>
      <w:b/>
      <w:bCs/>
      <w:color w:val="3E2B8F"/>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50"/>
      <w:contextualSpacing/>
    </w:pPr>
    <w:rPr>
      <w:sz w:val="21"/>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50"/>
      <w:contextualSpacing/>
    </w:pPr>
    <w:rPr>
      <w:sz w:val="21"/>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ManudenProcess">
    <w:name w:val="Manuden Process"/>
    <w:pPr>
      <w:spacing w:before="80" w:after="120"/>
      <w:jc w:val="center"/>
    </w:pPr>
    <w:rPr>
      <w:rFonts w:ascii="Aptos" w:hAnsi="Aptos"/>
      <w:b/>
      <w:color w:val="3E2B8F"/>
      <w:sz w:val="23"/>
    </w:rPr>
  </w:style>
  <w:style w:type="paragraph" w:customStyle="1" w:styleId="ManudenAlert">
    <w:name w:val="Manuden Alert"/>
    <w:pPr>
      <w:spacing w:before="80" w:after="100"/>
    </w:pPr>
    <w:rPr>
      <w:rFonts w:ascii="Aptos" w:hAnsi="Aptos"/>
      <w:b/>
      <w:color w:val="9C1C1C"/>
      <w:sz w:val="21"/>
    </w:rPr>
  </w:style>
  <w:style w:type="paragraph" w:customStyle="1" w:styleId="ManudenNote">
    <w:name w:val="Manuden Note"/>
    <w:pPr>
      <w:spacing w:before="60" w:after="100"/>
    </w:pPr>
    <w:rPr>
      <w:rFonts w:ascii="Aptos" w:hAnsi="Aptos"/>
      <w:i/>
      <w:color w:val="356859"/>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gov.uk/government/publications/using-emergency-adrenaline-auto-injectors-in-schools" TargetMode="External"/><Relationship Id="rId18" Type="http://schemas.openxmlformats.org/officeDocument/2006/relationships/hyperlink" Target="https://www.gov.uk/government/publications/keeping-children-safe-in-education--2"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gov.uk/government/publications/using-emergency-adrenaline-auto-injectors-in-schools" TargetMode="External"/><Relationship Id="rId7" Type="http://schemas.openxmlformats.org/officeDocument/2006/relationships/endnotes" Target="endnotes.xml"/><Relationship Id="rId12" Type="http://schemas.openxmlformats.org/officeDocument/2006/relationships/hyperlink" Target="https://www.gov.uk/government/publications/supporting-pupils-at-school-with-medical-conditions--3" TargetMode="External"/><Relationship Id="rId17" Type="http://schemas.openxmlformats.org/officeDocument/2006/relationships/hyperlink" Target="https://www.food.gov.uk/business-guidance/allergen-guidance-for-food-businesses"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gov.uk/government/publications/school-food-standards-resources-for-schools/allergy-guidance-for-schools" TargetMode="External"/><Relationship Id="rId20" Type="http://schemas.openxmlformats.org/officeDocument/2006/relationships/hyperlink" Target="https://www.gov.uk/government/publications/allergy-safety-in-school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slation.gov.uk/ukpga/2026/21/contents" TargetMode="External"/><Relationship Id="rId24" Type="http://schemas.openxmlformats.org/officeDocument/2006/relationships/hyperlink" Target="https://www.sparepensinschools.uk/" TargetMode="External"/><Relationship Id="rId5" Type="http://schemas.openxmlformats.org/officeDocument/2006/relationships/webSettings" Target="webSettings.xml"/><Relationship Id="rId15" Type="http://schemas.openxmlformats.org/officeDocument/2006/relationships/hyperlink" Target="https://www.legislation.gov.uk/ukpga/2010/15/contents" TargetMode="External"/><Relationship Id="rId23" Type="http://schemas.openxmlformats.org/officeDocument/2006/relationships/hyperlink" Target="https://www.food.gov.uk/business-guidance/allergen-guidance-for-food-businesses" TargetMode="External"/><Relationship Id="rId10" Type="http://schemas.openxmlformats.org/officeDocument/2006/relationships/hyperlink" Target="https://www.legislation.gov.uk/ukpga/2014/6/section/100" TargetMode="External"/><Relationship Id="rId19" Type="http://schemas.openxmlformats.org/officeDocument/2006/relationships/hyperlink" Target="https://www.gov.uk/government/publications/early-years-foundation-stage-framework--2" TargetMode="External"/><Relationship Id="rId4" Type="http://schemas.openxmlformats.org/officeDocument/2006/relationships/settings" Target="settings.xml"/><Relationship Id="rId9" Type="http://schemas.openxmlformats.org/officeDocument/2006/relationships/hyperlink" Target="https://www.gov.uk/government/publications/allergy-safety-in-schools" TargetMode="External"/><Relationship Id="rId14" Type="http://schemas.openxmlformats.org/officeDocument/2006/relationships/hyperlink" Target="https://www.legislation.gov.uk/uksi/2012/1916/contents" TargetMode="External"/><Relationship Id="rId22" Type="http://schemas.openxmlformats.org/officeDocument/2006/relationships/hyperlink" Target="https://www.gov.uk/government/publications/school-food-standards-resources-for-schools/allergy-guidance-for-schools"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4275</Words>
  <Characters>24369</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28587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Manuden Primary School Allergy Safety Policy 2026-27</dc:title>
  <dc:subject>Statutory allergy safety policy</dc:subject>
  <dc:creator>Manuden Primary School</dc:creator>
  <cp:keywords/>
  <dc:description>generated by python-docx</dc:description>
  <cp:lastModifiedBy>Andrew Price</cp:lastModifiedBy>
  <cp:revision>2</cp:revision>
  <dcterms:created xsi:type="dcterms:W3CDTF">2026-09-03T13:41:00Z</dcterms:created>
  <dcterms:modified xsi:type="dcterms:W3CDTF">2026-09-03T13:41:00Z</dcterms:modified>
  <cp:category/>
</cp:coreProperties>
</file>