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6984"/>
        <w:gridCol w:w="2520"/>
      </w:tblGrid>
      <w:tr>
        <w:trPr>
          <w:cantSplit/>
        </w:trPr>
        <w:tc>
          <w:tcPr>
            <w:tcW w:type="dxa" w:w="5083"/>
            <w:tcMar>
              <w:top w:w="20" w:type="dxa"/>
              <w:start w:w="10" w:type="dxa"/>
              <w:bottom w:w="20" w:type="dxa"/>
              <w:end w:w="10" w:type="dxa"/>
            </w:tcMar>
            <w:vAlign w:val="center"/>
          </w:tcPr>
          <w:p>
            <w:pPr>
              <w:jc w:val="left"/>
            </w:pPr>
            <w:r>
              <w:rPr>
                <w:rFonts w:ascii="Aptos Display" w:hAnsi="Aptos Display" w:eastAsia="Aptos Display" w:cs="Aptos Display"/>
                <w:b/>
                <w:color w:val="3E2B8F"/>
                <w:sz w:val="46"/>
              </w:rPr>
              <w:t>MANUDEN</w:t>
            </w:r>
            <w:r>
              <w:rPr>
                <w:rFonts w:ascii="Aptos" w:hAnsi="Aptos" w:eastAsia="Aptos" w:cs="Aptos"/>
                <w:b/>
                <w:color w:val="F3C300"/>
                <w:sz w:val="25"/>
              </w:rPr>
              <w:t xml:space="preserve">  PRIMARY SCHOOL</w:t>
            </w:r>
          </w:p>
          <w:p>
            <w:pPr>
              <w:spacing w:after="0"/>
            </w:pPr>
            <w:r>
              <w:rPr>
                <w:rFonts w:ascii="Aptos" w:hAnsi="Aptos" w:eastAsia="Aptos" w:cs="Aptos"/>
                <w:b w:val="0"/>
                <w:color w:val="25324A"/>
                <w:sz w:val="19"/>
              </w:rPr>
              <w:t>A Small School with Big Ideas</w:t>
            </w:r>
          </w:p>
        </w:tc>
        <w:tc>
          <w:tcPr>
            <w:tcW w:type="dxa" w:w="5083"/>
            <w:tcMar>
              <w:top w:w="20" w:type="dxa"/>
              <w:start w:w="10" w:type="dxa"/>
              <w:bottom w:w="20" w:type="dxa"/>
              <w:end w:w="10" w:type="dxa"/>
            </w:tcMar>
            <w:vAlign w:val="center"/>
          </w:tcPr>
          <w:p>
            <w:pPr>
              <w:jc w:val="center"/>
            </w:pPr>
            <w:r>
              <w:drawing>
                <wp:inline xmlns:a="http://schemas.openxmlformats.org/drawingml/2006/main" xmlns:pic="http://schemas.openxmlformats.org/drawingml/2006/picture">
                  <wp:extent cx="1115568" cy="1208767"/>
                  <wp:docPr id="1" name="Picture 1" descr="Manuden Primary School logo"/>
                  <wp:cNvGraphicFramePr>
                    <a:graphicFrameLocks noChangeAspect="1"/>
                  </wp:cNvGraphicFramePr>
                  <a:graphic>
                    <a:graphicData uri="http://schemas.openxmlformats.org/drawingml/2006/picture">
                      <pic:pic>
                        <pic:nvPicPr>
                          <pic:cNvPr id="0" name="manuden_logo_clean.png"/>
                          <pic:cNvPicPr/>
                        </pic:nvPicPr>
                        <pic:blipFill>
                          <a:blip r:embed="rId9"/>
                          <a:stretch>
                            <a:fillRect/>
                          </a:stretch>
                        </pic:blipFill>
                        <pic:spPr>
                          <a:xfrm>
                            <a:off x="0" y="0"/>
                            <a:ext cx="1115568" cy="1208767"/>
                          </a:xfrm>
                          <a:prstGeom prst="rect"/>
                        </pic:spPr>
                      </pic:pic>
                    </a:graphicData>
                  </a:graphic>
                </wp:inline>
              </w:drawing>
            </w:r>
          </w:p>
          <w:p>
            <w:pPr>
              <w:spacing w:after="0"/>
              <w:jc w:val="center"/>
            </w:pPr>
            <w:r>
              <w:rPr>
                <w:rFonts w:ascii="Aptos" w:hAnsi="Aptos" w:eastAsia="Aptos" w:cs="Aptos"/>
                <w:b/>
                <w:color w:val="3E2B8F"/>
                <w:sz w:val="16"/>
              </w:rPr>
              <w:t>POLICY DOCUMENT</w:t>
            </w:r>
          </w:p>
        </w:tc>
      </w:tr>
    </w:tbl>
    <w:p>
      <w:pPr>
        <w:spacing w:before="60" w:after="280"/>
        <w:pBdr>
          <w:bottom w:val="single" w:sz="24" w:space="3" w:color="F3C300"/>
        </w:pBdr>
      </w:pPr>
    </w:p>
    <w:p>
      <w:pPr>
        <w:spacing w:after="60"/>
        <w:jc w:val="center"/>
      </w:pPr>
      <w:r>
        <w:rPr>
          <w:rFonts w:ascii="Aptos" w:hAnsi="Aptos"/>
          <w:b/>
          <w:color w:val="3E2B8F"/>
          <w:sz w:val="48"/>
        </w:rPr>
        <w:t>BEHAVIOUR POLICY</w:t>
      </w:r>
    </w:p>
    <w:p>
      <w:pPr>
        <w:spacing w:after="260"/>
        <w:jc w:val="center"/>
      </w:pPr>
      <w:r>
        <w:rPr>
          <w:rFonts w:ascii="Aptos" w:hAnsi="Aptos"/>
          <w:b/>
          <w:color w:val="25324A"/>
          <w:sz w:val="24"/>
        </w:rPr>
        <w:t>2026–27</w:t>
      </w:r>
    </w:p>
    <w:p>
      <w:pPr>
        <w:spacing w:after="240"/>
        <w:jc w:val="center"/>
      </w:pPr>
      <w:r>
        <w:rPr>
          <w:rFonts w:ascii="Aptos" w:hAnsi="Aptos" w:eastAsia="Aptos" w:cs="Aptos"/>
          <w:b w:val="0"/>
          <w:color w:val="25324A"/>
          <w:sz w:val="21"/>
        </w:rPr>
        <w:t>Growing Hearts  •  Growing Minds  •  Growing Dreams</w:t>
      </w:r>
    </w:p>
    <w:tbl>
      <w:tblPr>
        <w:tblW w:type="auto" w:w="0"/>
        <w:jc w:val="center"/>
        <w:tblLayout w:type="fixed"/>
        <w:tblLook w:firstColumn="1" w:firstRow="1" w:lastColumn="0" w:lastRow="0" w:noHBand="0" w:noVBand="1" w:val="04A0"/>
      </w:tblPr>
      <w:tblGrid>
        <w:gridCol w:w="3139"/>
        <w:gridCol w:w="3139"/>
        <w:gridCol w:w="3139"/>
      </w:tblGrid>
      <w:tr>
        <w:trPr>
          <w:cantSplit/>
        </w:trPr>
        <w:tc>
          <w:tcPr>
            <w:tcW w:type="dxa" w:w="3389"/>
            <w:tcMar>
              <w:top w:w="0" w:type="dxa"/>
              <w:start w:w="0" w:type="dxa"/>
              <w:bottom w:w="0" w:type="dxa"/>
              <w:end w:w="0" w:type="dxa"/>
            </w:tcMar>
            <w:shd w:fill="3E2B8F"/>
          </w:tcPr>
          <w:p>
            <w:pPr>
              <w:spacing w:after="0"/>
            </w:pPr>
            <w:r>
              <w:rPr>
                <w:rFonts w:ascii="Aptos" w:hAnsi="Aptos" w:eastAsia="Aptos" w:cs="Aptos"/>
                <w:sz w:val="4"/>
              </w:rPr>
              <w:t xml:space="preserve"> </w:t>
            </w:r>
          </w:p>
        </w:tc>
        <w:tc>
          <w:tcPr>
            <w:tcW w:type="dxa" w:w="3389"/>
            <w:tcMar>
              <w:top w:w="0" w:type="dxa"/>
              <w:start w:w="0" w:type="dxa"/>
              <w:bottom w:w="0" w:type="dxa"/>
              <w:end w:w="0" w:type="dxa"/>
            </w:tcMar>
            <w:shd w:fill="F3C300"/>
          </w:tcPr>
          <w:p>
            <w:pPr>
              <w:spacing w:after="0"/>
            </w:pPr>
            <w:r>
              <w:rPr>
                <w:rFonts w:ascii="Aptos" w:hAnsi="Aptos" w:eastAsia="Aptos" w:cs="Aptos"/>
                <w:sz w:val="4"/>
              </w:rPr>
              <w:t xml:space="preserve"> </w:t>
            </w:r>
          </w:p>
        </w:tc>
        <w:tc>
          <w:tcPr>
            <w:tcW w:type="dxa" w:w="3389"/>
            <w:tcMar>
              <w:top w:w="0" w:type="dxa"/>
              <w:start w:w="0" w:type="dxa"/>
              <w:bottom w:w="0" w:type="dxa"/>
              <w:end w:w="0" w:type="dxa"/>
            </w:tcMar>
            <w:shd w:fill="3E2B8F"/>
          </w:tcPr>
          <w:p>
            <w:pPr>
              <w:spacing w:after="0"/>
            </w:pPr>
            <w:r>
              <w:rPr>
                <w:rFonts w:ascii="Aptos" w:hAnsi="Aptos" w:eastAsia="Aptos" w:cs="Aptos"/>
                <w:sz w:val="4"/>
              </w:rPr>
              <w:t xml:space="preserve"> </w:t>
            </w:r>
          </w:p>
        </w:tc>
      </w:tr>
    </w:tbl>
    <w:p>
      <w:pPr>
        <w:spacing w:after="100"/>
        <w:pBdr>
          <w:bottom w:val="single" w:sz="8" w:space="3" w:color="3E2B8F"/>
        </w:pBdr>
      </w:pPr>
      <w:r>
        <w:rPr>
          <w:rFonts w:ascii="Aptos" w:hAnsi="Aptos" w:eastAsia="Aptos" w:cs="Aptos"/>
          <w:b/>
          <w:color w:val="25324A"/>
          <w:sz w:val="22"/>
        </w:rPr>
        <w:t>POLICY INFORMATION</w:t>
      </w:r>
    </w:p>
    <w:tbl>
      <w:tblPr>
        <w:tblW w:type="auto" w:w="0"/>
        <w:jc w:val="center"/>
        <w:tblLayout w:type="fixed"/>
        <w:tblLook w:firstColumn="1" w:firstRow="1" w:lastColumn="0" w:lastRow="0" w:noHBand="0" w:noVBand="1" w:val="04A0"/>
      </w:tblPr>
      <w:tblGrid>
        <w:gridCol w:w="2952"/>
        <w:gridCol w:w="6408"/>
      </w:tblGrid>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Policy owner / lead</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Phil Molyneux – Headteacher</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Approved by</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Governing Body (policy determined by Headteacher)</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Approval / adoption date</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To be confirmed following Governing Body approval</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Next review date</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September 2027</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Review cycle</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Annual and earlier if statutory guidance or school arrangements change</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Version</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1.0</w:t>
            </w:r>
          </w:p>
        </w:tc>
      </w:tr>
      <w:tr>
        <w:trPr>
          <w:cantSplit/>
        </w:trPr>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shd w:fill="F4F5F7"/>
          </w:tcPr>
          <w:p>
            <w:r>
              <w:rPr>
                <w:rFonts w:ascii="Aptos" w:hAnsi="Aptos" w:eastAsia="Aptos" w:cs="Aptos"/>
                <w:b/>
                <w:color w:val="25324A"/>
                <w:sz w:val="18"/>
              </w:rPr>
              <w:t>Policy status</w:t>
            </w:r>
          </w:p>
        </w:tc>
        <w:tc>
          <w:tcPr>
            <w:tcW w:type="dxa" w:w="5083"/>
            <w:tcMar>
              <w:top w:w="85" w:type="dxa"/>
              <w:start w:w="120" w:type="dxa"/>
              <w:bottom w:w="85" w:type="dxa"/>
              <w:end w:w="120" w:type="dxa"/>
            </w:tcMar>
            <w:tcBorders>
              <w:top w:val="single" w:sz="5" w:color="D8DCE3"/>
              <w:left w:val="single" w:sz="5" w:color="D8DCE3"/>
              <w:bottom w:val="single" w:sz="5" w:color="D8DCE3"/>
              <w:right w:val="single" w:sz="5" w:color="D8DCE3"/>
            </w:tcBorders>
          </w:tcPr>
          <w:p>
            <w:r>
              <w:rPr>
                <w:rFonts w:ascii="Aptos" w:hAnsi="Aptos"/>
                <w:color w:val="25324A"/>
                <w:sz w:val="20"/>
              </w:rPr>
              <w:t>Statutory behaviour policy</w:t>
            </w:r>
          </w:p>
        </w:tc>
      </w:tr>
    </w:tbl>
    <w:p>
      <w:pPr>
        <w:spacing w:before="180" w:after="60"/>
      </w:pPr>
      <w:r>
        <w:rPr>
          <w:rFonts w:ascii="Aptos" w:hAnsi="Aptos"/>
          <w:b/>
          <w:color w:val="25324A"/>
          <w:sz w:val="20"/>
        </w:rPr>
        <w:t xml:space="preserve">This policy applies to: </w:t>
      </w:r>
      <w:r>
        <w:rPr>
          <w:rFonts w:ascii="Aptos" w:hAnsi="Aptos"/>
          <w:color w:val="25324A"/>
          <w:sz w:val="20"/>
        </w:rPr>
        <w:t>all pupils. All staff, governors, volunteers and visitors are expected to support its implementation. The policy also applies, where lawful and reasonable, to pupil conduct outside school that affects the school community.</w:t>
      </w:r>
    </w:p>
    <w:p>
      <w:pPr>
        <w:spacing w:after="0"/>
      </w:pPr>
      <w:r>
        <w:rPr>
          <w:rFonts w:ascii="Aptos" w:hAnsi="Aptos"/>
          <w:b/>
          <w:color w:val="25324A"/>
          <w:sz w:val="20"/>
        </w:rPr>
        <w:t xml:space="preserve">Related documents: </w:t>
      </w:r>
      <w:r>
        <w:rPr>
          <w:rFonts w:ascii="Aptos" w:hAnsi="Aptos"/>
          <w:color w:val="25324A"/>
          <w:sz w:val="20"/>
        </w:rPr>
        <w:t>Governing Body Statement of Behaviour Principles; Anti-Bullying Policy; Child Protection and Safeguarding Policy; Online Safety Policy; SEND Policy and SEN Information Report; Equality Policy; Attendance Policy; Acceptable Use of Technology Policy; Parent and Carer Code of Conduct; Staff Code of Conduct.</w:t>
      </w:r>
    </w:p>
    <w:p>
      <w:r>
        <w:br w:type="page"/>
      </w:r>
    </w:p>
    <w:p>
      <w:pPr>
        <w:pStyle w:val="Heading1"/>
      </w:pPr>
      <w:r>
        <w:t>1. Purpose and Core Principle</w:t>
      </w:r>
    </w:p>
    <w:p>
      <w:pPr/>
      <w:r>
        <w:t>At Manuden Primary School, excellent behaviour is taught, modelled, practised and reinforced. Clear routines, high expectations and positive relationships create a calm environment in which pupils feel safe, pupils can learn and adults can teach.</w:t>
      </w:r>
    </w:p>
    <w:p>
      <w:pPr/>
      <w:r>
        <w:t>The classroom teacher is the primary leader of behaviour in their classroom. Teachers are trusted to use professional judgement within this policy, to deal with routine and moderately challenging behaviour themselves, and to apply proportionate consequences without routinely referring pupils to senior leaders.</w:t>
      </w:r>
    </w:p>
    <w:tbl>
      <w:tblPr>
        <w:tblW w:type="auto" w:w="0"/>
        <w:jc w:val="center"/>
        <w:tblLook w:firstColumn="1" w:firstRow="1" w:lastColumn="0" w:lastRow="0" w:noHBand="0" w:noVBand="1" w:val="04A0"/>
        <w:tblBorders>
          <w:top w:val="single" w:sz="5" w:color="D7D9DE"/>
          <w:left w:val="single" w:sz="5" w:color="D7D9DE"/>
          <w:bottom w:val="single" w:sz="5" w:color="D7D9DE"/>
          <w:right w:val="single" w:sz="5" w:color="D7D9DE"/>
          <w:insideH w:val="single" w:sz="5" w:color="D7D9DE"/>
          <w:insideV w:val="single" w:sz="5" w:color="D7D9DE"/>
        </w:tblBorders>
      </w:tblPr>
      <w:tblGrid>
        <w:gridCol w:w="10166"/>
      </w:tblGrid>
      <w:tr>
        <w:trPr>
          <w:cantSplit/>
        </w:trPr>
        <w:tc>
          <w:tcPr>
            <w:tcW w:type="dxa" w:w="10166"/>
            <w:shd w:fill="FFF8D9"/>
            <w:tcMar>
              <w:top w:w="120" w:type="dxa"/>
              <w:start w:w="140" w:type="dxa"/>
              <w:bottom w:w="120" w:type="dxa"/>
              <w:end w:w="140" w:type="dxa"/>
            </w:tcMar>
          </w:tcPr>
          <w:p>
            <w:r>
              <w:rPr>
                <w:rFonts w:ascii="Aptos" w:hAnsi="Aptos"/>
                <w:b/>
                <w:color w:val="3E2B8F"/>
                <w:sz w:val="22"/>
              </w:rPr>
              <w:t>The Manuden escalation principle</w:t>
              <w:br/>
            </w:r>
            <w:r>
              <w:rPr>
                <w:rFonts w:ascii="Aptos" w:hAnsi="Aptos"/>
                <w:color w:val="25324A"/>
                <w:sz w:val="21"/>
              </w:rPr>
              <w:t>Teachers manage behaviour. SLT supports when behaviour becomes persistent, serious or significantly disrupts learning or safety. The Headteacher is reserved for exceptional Level 4 incidents, statutory decisions such as suspension or permanent exclusion, or situations where Headteacher involvement is otherwise necessary.</w:t>
            </w:r>
          </w:p>
        </w:tc>
      </w:tr>
    </w:tbl>
    <w:p>
      <w:pPr>
        <w:spacing w:after="0"/>
      </w:pPr>
    </w:p>
    <w:p>
      <w:pPr/>
      <w:r>
        <w:t>Seeking help when safety or learning is being significantly affected is appropriate professional judgement, not a failure of classroom management. Equally, routine behaviour should not be transferred to SLT or the Headteacher simply because a pupil has received a reminder, refused once or needs a normal classroom consequence.</w:t>
      </w:r>
    </w:p>
    <w:p>
      <w:pPr>
        <w:pStyle w:val="Heading1"/>
      </w:pPr>
      <w:r>
        <w:t>2. Legal and Policy Framework</w:t>
      </w:r>
    </w:p>
    <w:p>
      <w:pPr/>
      <w:r>
        <w:t>This policy is determined by the Headteacher in accordance with the Governing Body’s Statement of Behaviour Principles and the school’s legal duties. It has regard to current national guidance, including:</w:t>
      </w:r>
    </w:p>
    <w:p>
      <w:pPr>
        <w:pStyle w:val="ListBullet"/>
      </w:pPr>
      <w:r>
        <w:t>Education and Inspections Act 2006, including sections 88 to 93;</w:t>
      </w:r>
    </w:p>
    <w:p>
      <w:pPr>
        <w:pStyle w:val="ListBullet"/>
      </w:pPr>
      <w:r>
        <w:t>Equality Act 2010;</w:t>
      </w:r>
    </w:p>
    <w:p>
      <w:pPr>
        <w:pStyle w:val="ListBullet"/>
      </w:pPr>
      <w:r>
        <w:t>Department for Education (DfE) Behaviour in Schools guidance;</w:t>
      </w:r>
    </w:p>
    <w:p>
      <w:pPr>
        <w:pStyle w:val="ListBullet"/>
      </w:pPr>
      <w:r>
        <w:t>DfE Mobile Phones in Schools statutory guidance (2026);</w:t>
      </w:r>
    </w:p>
    <w:p>
      <w:pPr>
        <w:pStyle w:val="ListBullet"/>
      </w:pPr>
      <w:r>
        <w:t>DfE Restrictive Interventions, including the Use of Reasonable Force, in Schools guidance (effective from April 2026);</w:t>
      </w:r>
    </w:p>
    <w:p>
      <w:pPr>
        <w:pStyle w:val="ListBullet"/>
      </w:pPr>
      <w:r>
        <w:t>DfE Searching, Screening and Confiscation guidance;</w:t>
      </w:r>
    </w:p>
    <w:p>
      <w:pPr>
        <w:pStyle w:val="ListBullet"/>
      </w:pPr>
      <w:r>
        <w:t>DfE Suspension and Permanent Exclusion statutory guidance (July 2026);</w:t>
      </w:r>
    </w:p>
    <w:p>
      <w:pPr>
        <w:pStyle w:val="ListBullet"/>
      </w:pPr>
      <w:r>
        <w:t>Keeping Children Safe in Education 2026;</w:t>
      </w:r>
    </w:p>
    <w:p>
      <w:pPr>
        <w:pStyle w:val="ListBullet"/>
      </w:pPr>
      <w:r>
        <w:t>SEND Code of Practice: 0 to 25 years.</w:t>
      </w:r>
    </w:p>
    <w:p>
      <w:pPr/>
      <w:r>
        <w:t>The policy is published on the school website and its expectations will be made known to pupils, staff and parents/carers. It will be revisited with the school community at least annually and whenever significant changes are made.</w:t>
      </w:r>
    </w:p>
    <w:p>
      <w:r>
        <w:br w:type="page"/>
      </w:r>
    </w:p>
    <w:p>
      <w:pPr>
        <w:pStyle w:val="Heading1"/>
      </w:pPr>
      <w:r>
        <w:t>3. Our Three Behaviour Expectations</w:t>
      </w:r>
    </w:p>
    <w:p>
      <w:pPr/>
      <w:r>
        <w:t>Manuden’s behaviour expectations are deliberately simple and apply across the whole school. Everyone is expected to be:</w:t>
      </w:r>
    </w:p>
    <w:tbl>
      <w:tblPr>
        <w:tblW w:type="auto" w:w="0"/>
        <w:jc w:val="center"/>
        <w:tblLook w:firstColumn="1" w:firstRow="1" w:lastColumn="0" w:lastRow="0" w:noHBand="0" w:noVBand="1" w:val="04A0"/>
        <w:tblBorders>
          <w:top w:val="single" w:sz="4" w:color="D7D9DE"/>
          <w:left w:val="single" w:sz="4" w:color="D7D9DE"/>
          <w:bottom w:val="single" w:sz="4" w:color="D7D9DE"/>
          <w:right w:val="single" w:sz="4" w:color="D7D9DE"/>
          <w:insideH w:val="single" w:sz="4" w:color="D7D9DE"/>
          <w:insideV w:val="single" w:sz="4" w:color="D7D9DE"/>
        </w:tblBorders>
      </w:tblPr>
      <w:tblGrid>
        <w:gridCol w:w="3389"/>
        <w:gridCol w:w="3389"/>
        <w:gridCol w:w="3389"/>
      </w:tblGrid>
      <w:tr>
        <w:trPr>
          <w:tblHeader w:val="true"/>
          <w:cantSplit/>
        </w:trPr>
        <w:tc>
          <w:tcPr>
            <w:tcW w:type="dxa" w:w="2016"/>
            <w:shd w:fill="3E2B8F"/>
            <w:tcMar>
              <w:top w:w="80" w:type="dxa"/>
              <w:start w:w="100" w:type="dxa"/>
              <w:bottom w:w="80" w:type="dxa"/>
              <w:end w:w="100" w:type="dxa"/>
            </w:tcMar>
          </w:tcPr>
          <w:p>
            <w:r>
              <w:rPr>
                <w:rFonts w:ascii="Aptos" w:hAnsi="Aptos"/>
                <w:b/>
                <w:color w:val="FFFFFF"/>
                <w:sz w:val="20"/>
              </w:rPr>
              <w:t>Expectation</w:t>
            </w:r>
          </w:p>
        </w:tc>
        <w:tc>
          <w:tcPr>
            <w:tcW w:type="dxa" w:w="3888"/>
            <w:shd w:fill="3E2B8F"/>
            <w:tcMar>
              <w:top w:w="80" w:type="dxa"/>
              <w:start w:w="100" w:type="dxa"/>
              <w:bottom w:w="80" w:type="dxa"/>
              <w:end w:w="100" w:type="dxa"/>
            </w:tcMar>
          </w:tcPr>
          <w:p>
            <w:r>
              <w:rPr>
                <w:rFonts w:ascii="Aptos" w:hAnsi="Aptos"/>
                <w:b/>
                <w:color w:val="FFFFFF"/>
                <w:sz w:val="20"/>
              </w:rPr>
              <w:t>What it means</w:t>
            </w:r>
          </w:p>
        </w:tc>
        <w:tc>
          <w:tcPr>
            <w:tcW w:type="dxa" w:w="4176"/>
            <w:shd w:fill="3E2B8F"/>
            <w:tcMar>
              <w:top w:w="80" w:type="dxa"/>
              <w:start w:w="100" w:type="dxa"/>
              <w:bottom w:w="80" w:type="dxa"/>
              <w:end w:w="100" w:type="dxa"/>
            </w:tcMar>
          </w:tcPr>
          <w:p>
            <w:r>
              <w:rPr>
                <w:rFonts w:ascii="Aptos" w:hAnsi="Aptos"/>
                <w:b/>
                <w:color w:val="FFFFFF"/>
                <w:sz w:val="20"/>
              </w:rPr>
              <w:t>Examples</w:t>
            </w:r>
          </w:p>
        </w:tc>
      </w:tr>
      <w:tr>
        <w:trPr>
          <w:cantSplit/>
        </w:trPr>
        <w:tc>
          <w:tcPr>
            <w:tcW w:type="dxa" w:w="2016"/>
            <w:tcMar>
              <w:top w:w="80" w:type="dxa"/>
              <w:start w:w="100" w:type="dxa"/>
              <w:bottom w:w="80" w:type="dxa"/>
              <w:end w:w="100" w:type="dxa"/>
            </w:tcMar>
            <w:vAlign w:val="top"/>
            <w:shd w:fill="FFF8D9"/>
          </w:tcPr>
          <w:p>
            <w:r>
              <w:rPr>
                <w:rFonts w:ascii="Aptos" w:hAnsi="Aptos"/>
                <w:b/>
                <w:color w:val="3E2B8F"/>
                <w:sz w:val="20"/>
              </w:rPr>
              <w:t>SAFE</w:t>
            </w:r>
          </w:p>
        </w:tc>
        <w:tc>
          <w:tcPr>
            <w:tcW w:type="dxa" w:w="3888"/>
            <w:tcMar>
              <w:top w:w="80" w:type="dxa"/>
              <w:start w:w="100" w:type="dxa"/>
              <w:bottom w:w="80" w:type="dxa"/>
              <w:end w:w="100" w:type="dxa"/>
            </w:tcMar>
            <w:vAlign w:val="top"/>
          </w:tcPr>
          <w:p>
            <w:r>
              <w:rPr>
                <w:rFonts w:ascii="Aptos" w:hAnsi="Aptos"/>
                <w:b w:val="0"/>
                <w:color w:val="25324A"/>
                <w:sz w:val="20"/>
              </w:rPr>
              <w:t>We behave in ways that keep ourselves and others physically and emotionally safe.</w:t>
            </w:r>
          </w:p>
        </w:tc>
        <w:tc>
          <w:tcPr>
            <w:tcW w:type="dxa" w:w="4176"/>
            <w:tcMar>
              <w:top w:w="80" w:type="dxa"/>
              <w:start w:w="100" w:type="dxa"/>
              <w:bottom w:w="80" w:type="dxa"/>
              <w:end w:w="100" w:type="dxa"/>
            </w:tcMar>
            <w:vAlign w:val="top"/>
          </w:tcPr>
          <w:p>
            <w:r>
              <w:rPr>
                <w:rFonts w:ascii="Aptos" w:hAnsi="Aptos"/>
                <w:b w:val="0"/>
                <w:color w:val="25324A"/>
                <w:sz w:val="20"/>
              </w:rPr>
              <w:t>Move safely; use equipment properly; report worries; keep hands, feet and objects safe.</w:t>
            </w:r>
          </w:p>
        </w:tc>
      </w:tr>
      <w:tr>
        <w:trPr>
          <w:cantSplit/>
        </w:trPr>
        <w:tc>
          <w:tcPr>
            <w:tcW w:type="dxa" w:w="2016"/>
            <w:tcMar>
              <w:top w:w="80" w:type="dxa"/>
              <w:start w:w="100" w:type="dxa"/>
              <w:bottom w:w="80" w:type="dxa"/>
              <w:end w:w="100" w:type="dxa"/>
            </w:tcMar>
            <w:vAlign w:val="top"/>
            <w:shd w:fill="FFF8D9"/>
          </w:tcPr>
          <w:p>
            <w:r>
              <w:rPr>
                <w:rFonts w:ascii="Aptos" w:hAnsi="Aptos"/>
                <w:b/>
                <w:color w:val="3E2B8F"/>
                <w:sz w:val="20"/>
              </w:rPr>
              <w:t>RESPECTFUL</w:t>
            </w:r>
          </w:p>
        </w:tc>
        <w:tc>
          <w:tcPr>
            <w:tcW w:type="dxa" w:w="3888"/>
            <w:tcMar>
              <w:top w:w="80" w:type="dxa"/>
              <w:start w:w="100" w:type="dxa"/>
              <w:bottom w:w="80" w:type="dxa"/>
              <w:end w:w="100" w:type="dxa"/>
            </w:tcMar>
            <w:vAlign w:val="top"/>
          </w:tcPr>
          <w:p>
            <w:r>
              <w:rPr>
                <w:rFonts w:ascii="Aptos" w:hAnsi="Aptos"/>
                <w:b w:val="0"/>
                <w:color w:val="25324A"/>
                <w:sz w:val="20"/>
              </w:rPr>
              <w:t>We show respect through our words, actions and treatment of people, property and our environment.</w:t>
            </w:r>
          </w:p>
        </w:tc>
        <w:tc>
          <w:tcPr>
            <w:tcW w:type="dxa" w:w="4176"/>
            <w:tcMar>
              <w:top w:w="80" w:type="dxa"/>
              <w:start w:w="100" w:type="dxa"/>
              <w:bottom w:w="80" w:type="dxa"/>
              <w:end w:w="100" w:type="dxa"/>
            </w:tcMar>
            <w:vAlign w:val="top"/>
          </w:tcPr>
          <w:p>
            <w:r>
              <w:rPr>
                <w:rFonts w:ascii="Aptos" w:hAnsi="Aptos"/>
                <w:b w:val="0"/>
                <w:color w:val="25324A"/>
                <w:sz w:val="20"/>
              </w:rPr>
              <w:t>Listen; speak appropriately; include others; care for property; respect difference.</w:t>
            </w:r>
          </w:p>
        </w:tc>
      </w:tr>
      <w:tr>
        <w:trPr>
          <w:cantSplit/>
        </w:trPr>
        <w:tc>
          <w:tcPr>
            <w:tcW w:type="dxa" w:w="2016"/>
            <w:tcMar>
              <w:top w:w="80" w:type="dxa"/>
              <w:start w:w="100" w:type="dxa"/>
              <w:bottom w:w="80" w:type="dxa"/>
              <w:end w:w="100" w:type="dxa"/>
            </w:tcMar>
            <w:vAlign w:val="top"/>
            <w:shd w:fill="FFF8D9"/>
          </w:tcPr>
          <w:p>
            <w:r>
              <w:rPr>
                <w:rFonts w:ascii="Aptos" w:hAnsi="Aptos"/>
                <w:b/>
                <w:color w:val="3E2B8F"/>
                <w:sz w:val="20"/>
              </w:rPr>
              <w:t>READY</w:t>
            </w:r>
          </w:p>
        </w:tc>
        <w:tc>
          <w:tcPr>
            <w:tcW w:type="dxa" w:w="3888"/>
            <w:tcMar>
              <w:top w:w="80" w:type="dxa"/>
              <w:start w:w="100" w:type="dxa"/>
              <w:bottom w:w="80" w:type="dxa"/>
              <w:end w:w="100" w:type="dxa"/>
            </w:tcMar>
            <w:vAlign w:val="top"/>
          </w:tcPr>
          <w:p>
            <w:r>
              <w:rPr>
                <w:rFonts w:ascii="Aptos" w:hAnsi="Aptos"/>
                <w:b w:val="0"/>
                <w:color w:val="25324A"/>
                <w:sz w:val="20"/>
              </w:rPr>
              <w:t>We are ready to listen, learn, participate and follow reasonable instructions from adults.</w:t>
            </w:r>
          </w:p>
        </w:tc>
        <w:tc>
          <w:tcPr>
            <w:tcW w:type="dxa" w:w="4176"/>
            <w:tcMar>
              <w:top w:w="80" w:type="dxa"/>
              <w:start w:w="100" w:type="dxa"/>
              <w:bottom w:w="80" w:type="dxa"/>
              <w:end w:w="100" w:type="dxa"/>
            </w:tcMar>
            <w:vAlign w:val="top"/>
          </w:tcPr>
          <w:p>
            <w:r>
              <w:rPr>
                <w:rFonts w:ascii="Aptos" w:hAnsi="Aptos"/>
                <w:b w:val="0"/>
                <w:color w:val="25324A"/>
                <w:sz w:val="20"/>
              </w:rPr>
              <w:t>Arrive prepared; begin promptly; follow routines; complete assigned learning; ask for help appropriately.</w:t>
            </w:r>
          </w:p>
        </w:tc>
      </w:tr>
    </w:tbl>
    <w:p>
      <w:pPr/>
      <w:r>
        <w:t>These expectations apply in classrooms, around school, at break and lunchtime, in assemblies and clubs, on educational visits, when representing Manuden, and to online or off-site conduct where the school has a lawful basis to respond.</w:t>
      </w:r>
    </w:p>
    <w:p>
      <w:pPr>
        <w:pStyle w:val="Heading1"/>
      </w:pPr>
      <w:r>
        <w:t>4. Building a Calm Behaviour Culture</w:t>
      </w:r>
    </w:p>
    <w:p>
      <w:pPr/>
      <w:r>
        <w:t>Behaviour is strongest when adults are predictable. All staff will explicitly teach and reinforce routines rather than assuming pupils already know them. Adults should use calm, brief and specific language, particularly when correcting behaviour.</w:t>
      </w:r>
    </w:p>
    <w:p>
      <w:pPr>
        <w:pStyle w:val="ListBullet"/>
      </w:pPr>
      <w:r>
        <w:t>Greet and settle pupils positively and establish clear routines for transitions, movement, resources and learning.</w:t>
      </w:r>
    </w:p>
    <w:p>
      <w:pPr>
        <w:pStyle w:val="ListBullet"/>
      </w:pPr>
      <w:r>
        <w:t>Use specific praise that tells the pupil what they have done well.</w:t>
      </w:r>
    </w:p>
    <w:p>
      <w:pPr>
        <w:pStyle w:val="ListBullet"/>
      </w:pPr>
      <w:r>
        <w:t>Use positive phrasing and short instructions rather than prolonged public discussion.</w:t>
      </w:r>
    </w:p>
    <w:p>
      <w:pPr>
        <w:pStyle w:val="ListBullet"/>
      </w:pPr>
      <w:r>
        <w:t>Give reasonable take-up time where appropriate.</w:t>
      </w:r>
    </w:p>
    <w:p>
      <w:pPr>
        <w:pStyle w:val="ListBullet"/>
      </w:pPr>
      <w:r>
        <w:t>Use limited choices when a pupil needs help to make the right decision.</w:t>
      </w:r>
    </w:p>
    <w:p>
      <w:pPr>
        <w:pStyle w:val="ListBullet"/>
      </w:pPr>
      <w:r>
        <w:t>Avoid public arguments, sarcasm, humiliation, shouting as a routine strategy or threats that will not be followed through.</w:t>
      </w:r>
    </w:p>
    <w:p>
      <w:pPr>
        <w:pStyle w:val="ListBullet"/>
      </w:pPr>
      <w:r>
        <w:t>Separate the behaviour from the child: correct the behaviour while preserving the pupil’s dignity and opportunity for a fresh start.</w:t>
      </w:r>
    </w:p>
    <w:p>
      <w:pPr>
        <w:pStyle w:val="ListBullet"/>
      </w:pPr>
      <w:r>
        <w:t>Follow agreed individual plans and reasonable adjustments for pupils who need them.</w:t>
      </w:r>
    </w:p>
    <w:p>
      <w:pPr>
        <w:pStyle w:val="Heading2"/>
      </w:pPr>
      <w:r>
        <w:t>A simple correction script</w:t>
      </w:r>
    </w:p>
    <w:tbl>
      <w:tblPr>
        <w:tblW w:type="auto" w:w="0"/>
        <w:jc w:val="center"/>
        <w:tblLook w:firstColumn="1" w:firstRow="1" w:lastColumn="0" w:lastRow="0" w:noHBand="0" w:noVBand="1" w:val="04A0"/>
        <w:tblBorders>
          <w:top w:val="single" w:sz="5" w:color="D7D9DE"/>
          <w:left w:val="single" w:sz="5" w:color="D7D9DE"/>
          <w:bottom w:val="single" w:sz="5" w:color="D7D9DE"/>
          <w:right w:val="single" w:sz="5" w:color="D7D9DE"/>
          <w:insideH w:val="single" w:sz="5" w:color="D7D9DE"/>
          <w:insideV w:val="single" w:sz="5" w:color="D7D9DE"/>
        </w:tblBorders>
      </w:tblPr>
      <w:tblGrid>
        <w:gridCol w:w="10166"/>
      </w:tblGrid>
      <w:tr>
        <w:trPr>
          <w:cantSplit/>
        </w:trPr>
        <w:tc>
          <w:tcPr>
            <w:tcW w:type="dxa" w:w="10166"/>
            <w:shd w:fill="F2F3F5"/>
            <w:tcMar>
              <w:top w:w="120" w:type="dxa"/>
              <w:start w:w="140" w:type="dxa"/>
              <w:bottom w:w="120" w:type="dxa"/>
              <w:end w:w="140" w:type="dxa"/>
            </w:tcMar>
          </w:tcPr>
          <w:p>
            <w:r>
              <w:rPr>
                <w:rFonts w:ascii="Aptos" w:hAnsi="Aptos"/>
                <w:b/>
                <w:color w:val="25324A"/>
                <w:sz w:val="22"/>
              </w:rPr>
              <w:t>Keep it calm and short</w:t>
              <w:br/>
            </w:r>
            <w:r>
              <w:rPr>
                <w:rFonts w:ascii="Aptos" w:hAnsi="Aptos"/>
                <w:color w:val="25324A"/>
                <w:sz w:val="21"/>
              </w:rPr>
              <w:t>1. “This is a reminder: Safe, Respectful, Ready.”</w:t>
              <w:br/>
              <w:t>2. State the behaviour required: “I need you to…”</w:t>
              <w:br/>
              <w:t>3. If needed, offer a limited choice: “You can… or…”</w:t>
              <w:br/>
              <w:t>4. State the consequence calmly if the behaviour continues.</w:t>
              <w:br/>
              <w:t>5. Give take-up time and return attention to learning.</w:t>
            </w:r>
          </w:p>
        </w:tc>
      </w:tr>
    </w:tbl>
    <w:p>
      <w:pPr>
        <w:spacing w:after="0"/>
      </w:pPr>
    </w:p>
    <w:p>
      <w:pPr>
        <w:pStyle w:val="Heading2"/>
      </w:pPr>
      <w:r>
        <w:t>De-escalation</w:t>
      </w:r>
    </w:p>
    <w:p>
      <w:pPr/>
      <w:r>
        <w:t>Where a pupil is becoming dysregulated or emotionally escalated, the priority is safety and reducing heat. Staff should use minimal language, a calm tone, appropriate space and clear safe instructions. A helpful approach may be: “I can see something has happened. I’m here to help. We can talk when you are calm. Right now I need you to…”</w:t>
      </w:r>
    </w:p>
    <w:p>
      <w:pPr>
        <w:pStyle w:val="Heading1"/>
      </w:pPr>
      <w:r>
        <w:t>5. Recognition and Positive Reinforcement</w:t>
      </w:r>
    </w:p>
    <w:p>
      <w:pPr/>
      <w:r>
        <w:t>Recognition should be frequent, authentic and proportionate. The school does not use a complicated reward ladder. Teachers retain discretion to recognise pupils in ways that are meaningful and age appropriate, provided these support the whole-school expectations.</w:t>
      </w:r>
    </w:p>
    <w:p>
      <w:pPr>
        <w:pStyle w:val="ListBullet"/>
      </w:pPr>
      <w:r>
        <w:t>specific verbal praise and positive feedback;</w:t>
      </w:r>
    </w:p>
    <w:p>
      <w:pPr>
        <w:pStyle w:val="ListBullet"/>
      </w:pPr>
      <w:r>
        <w:t>house points;</w:t>
      </w:r>
    </w:p>
    <w:p>
      <w:pPr>
        <w:pStyle w:val="ListBullet"/>
      </w:pPr>
      <w:r>
        <w:t>age-appropriate class recognition;</w:t>
      </w:r>
    </w:p>
    <w:p>
      <w:pPr>
        <w:pStyle w:val="ListBullet"/>
      </w:pPr>
      <w:r>
        <w:t>positive communication with parents/carers;</w:t>
      </w:r>
    </w:p>
    <w:p>
      <w:pPr>
        <w:pStyle w:val="ListBullet"/>
      </w:pPr>
      <w:r>
        <w:t>weekly Effort and Achievement Awards;</w:t>
      </w:r>
    </w:p>
    <w:p>
      <w:pPr>
        <w:pStyle w:val="ListBullet"/>
      </w:pPr>
      <w:r>
        <w:t>recognition through house totals and the house trophy;</w:t>
      </w:r>
    </w:p>
    <w:p>
      <w:pPr>
        <w:pStyle w:val="ListBullet"/>
      </w:pPr>
      <w:r>
        <w:t>Headteacher recognition for work, effort, conduct or contribution that a teacher judges worthy of special celebration.</w:t>
      </w:r>
    </w:p>
    <w:p>
      <w:pPr/>
      <w:r>
        <w:t>Teachers may send or bring a pupil to the Headteacher’s office to share work or another achievement and receive a Headteacher sticker. This is a positive recognition route and is deliberately separate from the behaviour escalation system.</w:t>
      </w:r>
    </w:p>
    <w:p>
      <w:pPr>
        <w:pStyle w:val="Heading1"/>
      </w:pPr>
      <w:r>
        <w:t>6. Teacher Autonomy and the Four Response Levels</w:t>
      </w:r>
    </w:p>
    <w:p>
      <w:pPr/>
      <w:r>
        <w:t>The four levels below are a decision-making framework, not a tariff. Staff must consider context, severity, intent, impact, age, SEND, disability, safeguarding and any agreed individual plan. A serious incident may move directly to a higher level. A safeguarding concern bypasses the behaviour levels and is reported to the DSL or a Deputy DSL immediately.</w:t>
      </w:r>
    </w:p>
    <w:tbl>
      <w:tblPr>
        <w:tblW w:type="auto" w:w="0"/>
        <w:jc w:val="center"/>
        <w:tblLook w:firstColumn="1" w:firstRow="1" w:lastColumn="0" w:lastRow="0" w:noHBand="0" w:noVBand="1" w:val="04A0"/>
        <w:tblBorders>
          <w:top w:val="single" w:sz="4" w:color="D7D9DE"/>
          <w:left w:val="single" w:sz="4" w:color="D7D9DE"/>
          <w:bottom w:val="single" w:sz="4" w:color="D7D9DE"/>
          <w:right w:val="single" w:sz="4" w:color="D7D9DE"/>
          <w:insideH w:val="single" w:sz="4" w:color="D7D9DE"/>
          <w:insideV w:val="single" w:sz="4" w:color="D7D9DE"/>
        </w:tblBorders>
      </w:tblPr>
      <w:tblGrid>
        <w:gridCol w:w="2541"/>
        <w:gridCol w:w="2541"/>
        <w:gridCol w:w="2541"/>
        <w:gridCol w:w="2541"/>
      </w:tblGrid>
      <w:tr>
        <w:trPr>
          <w:tblHeader w:val="true"/>
          <w:cantSplit/>
        </w:trPr>
        <w:tc>
          <w:tcPr>
            <w:tcW w:type="dxa" w:w="1152"/>
            <w:shd w:fill="3E2B8F"/>
            <w:tcMar>
              <w:top w:w="80" w:type="dxa"/>
              <w:start w:w="100" w:type="dxa"/>
              <w:bottom w:w="80" w:type="dxa"/>
              <w:end w:w="100" w:type="dxa"/>
            </w:tcMar>
          </w:tcPr>
          <w:p>
            <w:r>
              <w:rPr>
                <w:rFonts w:ascii="Aptos" w:hAnsi="Aptos"/>
                <w:b/>
                <w:color w:val="FFFFFF"/>
                <w:sz w:val="19"/>
              </w:rPr>
              <w:t>Level</w:t>
            </w:r>
          </w:p>
        </w:tc>
        <w:tc>
          <w:tcPr>
            <w:tcW w:type="dxa" w:w="2376"/>
            <w:shd w:fill="3E2B8F"/>
            <w:tcMar>
              <w:top w:w="80" w:type="dxa"/>
              <w:start w:w="100" w:type="dxa"/>
              <w:bottom w:w="80" w:type="dxa"/>
              <w:end w:w="100" w:type="dxa"/>
            </w:tcMar>
          </w:tcPr>
          <w:p>
            <w:r>
              <w:rPr>
                <w:rFonts w:ascii="Aptos" w:hAnsi="Aptos"/>
                <w:b/>
                <w:color w:val="FFFFFF"/>
                <w:sz w:val="19"/>
              </w:rPr>
              <w:t>Ownership</w:t>
            </w:r>
          </w:p>
        </w:tc>
        <w:tc>
          <w:tcPr>
            <w:tcW w:type="dxa" w:w="3744"/>
            <w:shd w:fill="3E2B8F"/>
            <w:tcMar>
              <w:top w:w="80" w:type="dxa"/>
              <w:start w:w="100" w:type="dxa"/>
              <w:bottom w:w="80" w:type="dxa"/>
              <w:end w:w="100" w:type="dxa"/>
            </w:tcMar>
          </w:tcPr>
          <w:p>
            <w:r>
              <w:rPr>
                <w:rFonts w:ascii="Aptos" w:hAnsi="Aptos"/>
                <w:b/>
                <w:color w:val="FFFFFF"/>
                <w:sz w:val="19"/>
              </w:rPr>
              <w:t>Typical threshold</w:t>
            </w:r>
          </w:p>
        </w:tc>
        <w:tc>
          <w:tcPr>
            <w:tcW w:type="dxa" w:w="2880"/>
            <w:shd w:fill="3E2B8F"/>
            <w:tcMar>
              <w:top w:w="80" w:type="dxa"/>
              <w:start w:w="100" w:type="dxa"/>
              <w:bottom w:w="80" w:type="dxa"/>
              <w:end w:w="100" w:type="dxa"/>
            </w:tcMar>
          </w:tcPr>
          <w:p>
            <w:r>
              <w:rPr>
                <w:rFonts w:ascii="Aptos" w:hAnsi="Aptos"/>
                <w:b/>
                <w:color w:val="FFFFFF"/>
                <w:sz w:val="19"/>
              </w:rPr>
              <w:t>Core expectation</w:t>
            </w:r>
          </w:p>
        </w:tc>
      </w:tr>
      <w:tr>
        <w:trPr>
          <w:cantSplit/>
        </w:trPr>
        <w:tc>
          <w:tcPr>
            <w:tcW w:type="dxa" w:w="1152"/>
            <w:tcMar>
              <w:top w:w="80" w:type="dxa"/>
              <w:start w:w="100" w:type="dxa"/>
              <w:bottom w:w="80" w:type="dxa"/>
              <w:end w:w="100" w:type="dxa"/>
            </w:tcMar>
            <w:shd w:fill="FFF8D9"/>
            <w:vAlign w:val="top"/>
          </w:tcPr>
          <w:p>
            <w:r>
              <w:rPr>
                <w:rFonts w:ascii="Aptos" w:hAnsi="Aptos"/>
                <w:b/>
                <w:color w:val="3E2B8F"/>
                <w:sz w:val="18"/>
              </w:rPr>
              <w:t>1</w:t>
            </w:r>
          </w:p>
        </w:tc>
        <w:tc>
          <w:tcPr>
            <w:tcW w:type="dxa" w:w="2376"/>
            <w:tcMar>
              <w:top w:w="80" w:type="dxa"/>
              <w:start w:w="100" w:type="dxa"/>
              <w:bottom w:w="80" w:type="dxa"/>
              <w:end w:w="100" w:type="dxa"/>
            </w:tcMar>
            <w:shd w:fill="F7F7F7"/>
            <w:vAlign w:val="top"/>
          </w:tcPr>
          <w:p>
            <w:r>
              <w:rPr>
                <w:rFonts w:ascii="Aptos" w:hAnsi="Aptos"/>
                <w:b w:val="0"/>
                <w:color w:val="25324A"/>
                <w:sz w:val="18"/>
              </w:rPr>
              <w:t>Teacher</w:t>
            </w:r>
          </w:p>
        </w:tc>
        <w:tc>
          <w:tcPr>
            <w:tcW w:type="dxa" w:w="3744"/>
            <w:tcMar>
              <w:top w:w="80" w:type="dxa"/>
              <w:start w:w="100" w:type="dxa"/>
              <w:bottom w:w="80" w:type="dxa"/>
              <w:end w:w="100" w:type="dxa"/>
            </w:tcMar>
            <w:shd w:fill="F7F7F7"/>
            <w:vAlign w:val="top"/>
          </w:tcPr>
          <w:p>
            <w:r>
              <w:rPr>
                <w:rFonts w:ascii="Aptos" w:hAnsi="Aptos"/>
                <w:b w:val="0"/>
                <w:color w:val="25324A"/>
                <w:sz w:val="18"/>
              </w:rPr>
              <w:t>Low-level, one-off behaviour that can be corrected within normal classroom or playground practice.</w:t>
            </w:r>
          </w:p>
        </w:tc>
        <w:tc>
          <w:tcPr>
            <w:tcW w:type="dxa" w:w="2880"/>
            <w:tcMar>
              <w:top w:w="80" w:type="dxa"/>
              <w:start w:w="100" w:type="dxa"/>
              <w:bottom w:w="80" w:type="dxa"/>
              <w:end w:w="100" w:type="dxa"/>
            </w:tcMar>
            <w:shd w:fill="F7F7F7"/>
            <w:vAlign w:val="top"/>
          </w:tcPr>
          <w:p>
            <w:r>
              <w:rPr>
                <w:rFonts w:ascii="Aptos" w:hAnsi="Aptos"/>
                <w:b w:val="0"/>
                <w:color w:val="25324A"/>
                <w:sz w:val="18"/>
              </w:rPr>
              <w:t>Teacher deals with it. No routine CPOMS entry.</w:t>
            </w:r>
          </w:p>
        </w:tc>
      </w:tr>
      <w:tr>
        <w:trPr>
          <w:cantSplit/>
        </w:trPr>
        <w:tc>
          <w:tcPr>
            <w:tcW w:type="dxa" w:w="1152"/>
            <w:tcMar>
              <w:top w:w="80" w:type="dxa"/>
              <w:start w:w="100" w:type="dxa"/>
              <w:bottom w:w="80" w:type="dxa"/>
              <w:end w:w="100" w:type="dxa"/>
            </w:tcMar>
            <w:shd w:fill="FFF8D9"/>
            <w:vAlign w:val="top"/>
          </w:tcPr>
          <w:p>
            <w:r>
              <w:rPr>
                <w:rFonts w:ascii="Aptos" w:hAnsi="Aptos"/>
                <w:b/>
                <w:color w:val="3E2B8F"/>
                <w:sz w:val="18"/>
              </w:rPr>
              <w:t>2</w:t>
            </w:r>
          </w:p>
        </w:tc>
        <w:tc>
          <w:tcPr>
            <w:tcW w:type="dxa" w:w="2376"/>
            <w:tcMar>
              <w:top w:w="80" w:type="dxa"/>
              <w:start w:w="100" w:type="dxa"/>
              <w:bottom w:w="80" w:type="dxa"/>
              <w:end w:w="100" w:type="dxa"/>
            </w:tcMar>
            <w:shd w:fill="F7F7F7"/>
            <w:vAlign w:val="top"/>
          </w:tcPr>
          <w:p>
            <w:r>
              <w:rPr>
                <w:rFonts w:ascii="Aptos" w:hAnsi="Aptos"/>
                <w:b w:val="0"/>
                <w:color w:val="25324A"/>
                <w:sz w:val="18"/>
              </w:rPr>
              <w:t>Teacher</w:t>
            </w:r>
          </w:p>
        </w:tc>
        <w:tc>
          <w:tcPr>
            <w:tcW w:type="dxa" w:w="3744"/>
            <w:tcMar>
              <w:top w:w="80" w:type="dxa"/>
              <w:start w:w="100" w:type="dxa"/>
              <w:bottom w:w="80" w:type="dxa"/>
              <w:end w:w="100" w:type="dxa"/>
            </w:tcMar>
            <w:shd w:fill="F7F7F7"/>
            <w:vAlign w:val="top"/>
          </w:tcPr>
          <w:p>
            <w:r>
              <w:rPr>
                <w:rFonts w:ascii="Aptos" w:hAnsi="Aptos"/>
                <w:b w:val="0"/>
                <w:color w:val="25324A"/>
                <w:sz w:val="18"/>
              </w:rPr>
              <w:t>Repeated Level 1 behaviour or a more significant incident that remains manageable by the teacher.</w:t>
            </w:r>
          </w:p>
        </w:tc>
        <w:tc>
          <w:tcPr>
            <w:tcW w:type="dxa" w:w="2880"/>
            <w:tcMar>
              <w:top w:w="80" w:type="dxa"/>
              <w:start w:w="100" w:type="dxa"/>
              <w:bottom w:w="80" w:type="dxa"/>
              <w:end w:w="100" w:type="dxa"/>
            </w:tcMar>
            <w:shd w:fill="F7F7F7"/>
            <w:vAlign w:val="top"/>
          </w:tcPr>
          <w:p>
            <w:r>
              <w:rPr>
                <w:rFonts w:ascii="Aptos" w:hAnsi="Aptos"/>
                <w:b w:val="0"/>
                <w:color w:val="25324A"/>
                <w:sz w:val="18"/>
              </w:rPr>
              <w:t>Teacher owns response. CPOMS normally used. Parent contact at teacher discretion.</w:t>
            </w:r>
          </w:p>
        </w:tc>
      </w:tr>
      <w:tr>
        <w:trPr>
          <w:cantSplit/>
        </w:trPr>
        <w:tc>
          <w:tcPr>
            <w:tcW w:type="dxa" w:w="1152"/>
            <w:tcMar>
              <w:top w:w="80" w:type="dxa"/>
              <w:start w:w="100" w:type="dxa"/>
              <w:bottom w:w="80" w:type="dxa"/>
              <w:end w:w="100" w:type="dxa"/>
            </w:tcMar>
            <w:shd w:fill="FFF8D9"/>
            <w:vAlign w:val="top"/>
          </w:tcPr>
          <w:p>
            <w:r>
              <w:rPr>
                <w:rFonts w:ascii="Aptos" w:hAnsi="Aptos"/>
                <w:b/>
                <w:color w:val="3E2B8F"/>
                <w:sz w:val="18"/>
              </w:rPr>
              <w:t>3</w:t>
            </w:r>
          </w:p>
        </w:tc>
        <w:tc>
          <w:tcPr>
            <w:tcW w:type="dxa" w:w="2376"/>
            <w:tcMar>
              <w:top w:w="80" w:type="dxa"/>
              <w:start w:w="100" w:type="dxa"/>
              <w:bottom w:w="80" w:type="dxa"/>
              <w:end w:w="100" w:type="dxa"/>
            </w:tcMar>
            <w:shd w:fill="F7F7F7"/>
            <w:vAlign w:val="top"/>
          </w:tcPr>
          <w:p>
            <w:r>
              <w:rPr>
                <w:rFonts w:ascii="Aptos" w:hAnsi="Aptos"/>
                <w:b w:val="0"/>
                <w:color w:val="25324A"/>
                <w:sz w:val="18"/>
              </w:rPr>
              <w:t>Teacher + SLT support</w:t>
            </w:r>
          </w:p>
        </w:tc>
        <w:tc>
          <w:tcPr>
            <w:tcW w:type="dxa" w:w="3744"/>
            <w:tcMar>
              <w:top w:w="80" w:type="dxa"/>
              <w:start w:w="100" w:type="dxa"/>
              <w:bottom w:w="80" w:type="dxa"/>
              <w:end w:w="100" w:type="dxa"/>
            </w:tcMar>
            <w:shd w:fill="F7F7F7"/>
            <w:vAlign w:val="top"/>
          </w:tcPr>
          <w:p>
            <w:r>
              <w:rPr>
                <w:rFonts w:ascii="Aptos" w:hAnsi="Aptos"/>
                <w:b w:val="0"/>
                <w:color w:val="25324A"/>
                <w:sz w:val="18"/>
              </w:rPr>
              <w:t>Persistent Level 2 behaviour, serious incident, or disruption/safety concern requiring coordinated senior support.</w:t>
            </w:r>
          </w:p>
        </w:tc>
        <w:tc>
          <w:tcPr>
            <w:tcW w:type="dxa" w:w="2880"/>
            <w:tcMar>
              <w:top w:w="80" w:type="dxa"/>
              <w:start w:w="100" w:type="dxa"/>
              <w:bottom w:w="80" w:type="dxa"/>
              <w:end w:w="100" w:type="dxa"/>
            </w:tcMar>
            <w:shd w:fill="F7F7F7"/>
            <w:vAlign w:val="top"/>
          </w:tcPr>
          <w:p>
            <w:r>
              <w:rPr>
                <w:rFonts w:ascii="Aptos" w:hAnsi="Aptos"/>
                <w:b w:val="0"/>
                <w:color w:val="25324A"/>
                <w:sz w:val="18"/>
              </w:rPr>
              <w:t>SLT supports investigation, planning and/or consequence. CPOMS required.</w:t>
            </w:r>
          </w:p>
        </w:tc>
      </w:tr>
      <w:tr>
        <w:trPr>
          <w:cantSplit/>
        </w:trPr>
        <w:tc>
          <w:tcPr>
            <w:tcW w:type="dxa" w:w="1152"/>
            <w:tcMar>
              <w:top w:w="80" w:type="dxa"/>
              <w:start w:w="100" w:type="dxa"/>
              <w:bottom w:w="80" w:type="dxa"/>
              <w:end w:w="100" w:type="dxa"/>
            </w:tcMar>
            <w:shd w:fill="FFF8D9"/>
            <w:vAlign w:val="top"/>
          </w:tcPr>
          <w:p>
            <w:r>
              <w:rPr>
                <w:rFonts w:ascii="Aptos" w:hAnsi="Aptos"/>
                <w:b/>
                <w:color w:val="3E2B8F"/>
                <w:sz w:val="18"/>
              </w:rPr>
              <w:t>4</w:t>
            </w:r>
          </w:p>
        </w:tc>
        <w:tc>
          <w:tcPr>
            <w:tcW w:type="dxa" w:w="2376"/>
            <w:tcMar>
              <w:top w:w="80" w:type="dxa"/>
              <w:start w:w="100" w:type="dxa"/>
              <w:bottom w:w="80" w:type="dxa"/>
              <w:end w:w="100" w:type="dxa"/>
            </w:tcMar>
            <w:shd w:fill="F7F7F7"/>
            <w:vAlign w:val="top"/>
          </w:tcPr>
          <w:p>
            <w:r>
              <w:rPr>
                <w:rFonts w:ascii="Aptos" w:hAnsi="Aptos"/>
                <w:b w:val="0"/>
                <w:color w:val="25324A"/>
                <w:sz w:val="18"/>
              </w:rPr>
              <w:t>Headteacher / exceptional</w:t>
            </w:r>
          </w:p>
        </w:tc>
        <w:tc>
          <w:tcPr>
            <w:tcW w:type="dxa" w:w="3744"/>
            <w:tcMar>
              <w:top w:w="80" w:type="dxa"/>
              <w:start w:w="100" w:type="dxa"/>
              <w:bottom w:w="80" w:type="dxa"/>
              <w:end w:w="100" w:type="dxa"/>
            </w:tcMar>
            <w:shd w:fill="F7F7F7"/>
            <w:vAlign w:val="top"/>
          </w:tcPr>
          <w:p>
            <w:r>
              <w:rPr>
                <w:rFonts w:ascii="Aptos" w:hAnsi="Aptos"/>
                <w:b w:val="0"/>
                <w:color w:val="25324A"/>
                <w:sz w:val="18"/>
              </w:rPr>
              <w:t>Very serious incident, exceptional risk, or matter requiring Headteacher/statutory decision.</w:t>
            </w:r>
          </w:p>
        </w:tc>
        <w:tc>
          <w:tcPr>
            <w:tcW w:type="dxa" w:w="2880"/>
            <w:tcMar>
              <w:top w:w="80" w:type="dxa"/>
              <w:start w:w="100" w:type="dxa"/>
              <w:bottom w:w="80" w:type="dxa"/>
              <w:end w:w="100" w:type="dxa"/>
            </w:tcMar>
            <w:shd w:fill="F7F7F7"/>
            <w:vAlign w:val="top"/>
          </w:tcPr>
          <w:p>
            <w:r>
              <w:rPr>
                <w:rFonts w:ascii="Aptos" w:hAnsi="Aptos"/>
                <w:b w:val="0"/>
                <w:color w:val="25324A"/>
                <w:sz w:val="18"/>
              </w:rPr>
              <w:t>Headteacher leads or oversees. CPOMS required. Suspension/exclusion considered only by Headteacher.</w:t>
            </w:r>
          </w:p>
        </w:tc>
      </w:tr>
    </w:tbl>
    <w:p>
      <w:pPr>
        <w:pStyle w:val="Heading2"/>
      </w:pPr>
      <w:r>
        <w:t>Level 1 – teacher response</w:t>
      </w:r>
    </w:p>
    <w:p>
      <w:pPr/>
      <w:r>
        <w:t>Examples may include calling out, distracting others, low-level refusal, not following an established routine, minor unkindness, inappropriate noise, running indoors, careless use of equipment or work avoidance.</w:t>
      </w:r>
    </w:p>
    <w:p>
      <w:pPr/>
      <w:r>
        <w:t>Possible teacher responses include a non-verbal cue, reminder of Safe–Respectful–Ready, positive redirection, limited choice, seating adjustment, brief reflection, completion of missed work, a short restorative conversation or another proportionate classroom consequence.</w:t>
      </w:r>
    </w:p>
    <w:p>
      <w:pPr/>
      <w:r>
        <w:t>Level 1 behaviour is not routinely recorded on CPOMS. Staff may record it where repetition is emerging, the behaviour forms part of a wider pattern or the information is relevant to a pupil’s support or safeguarding chronology.</w:t>
      </w:r>
    </w:p>
    <w:p>
      <w:pPr>
        <w:pStyle w:val="Heading2"/>
      </w:pPr>
      <w:r>
        <w:t>Level 2 – teacher-led response</w:t>
      </w:r>
    </w:p>
    <w:p>
      <w:pPr/>
      <w:r>
        <w:t>Examples may include repeated Level 1 behaviour, sustained disruption, deliberate defiance, rudeness, swearing at another pupil, deliberate damage of minor property, aggressive play, repeated unkindness, low-level physical aggression, dishonesty, or conduct that requires a more formal consequence but does not normally require SLT to take over.</w:t>
      </w:r>
    </w:p>
    <w:p>
      <w:pPr/>
      <w:r>
        <w:t>The teacher remains responsible for the response. This may include a clear consequence, restorative work, missed learning completed at break/lunchtime, parent contact, targeted monitoring, a seating/routine adjustment, or seeking advice from the SENCO/SLT while retaining ownership.</w:t>
      </w:r>
    </w:p>
    <w:p>
      <w:pPr/>
      <w:r>
        <w:t>Level 2 and above will normally be recorded on CPOMS. Parent/carer contact at Level 2 is at the teacher’s professional discretion, taking account of seriousness, recurrence, impact and whether parental support would help resolve the issue.</w:t>
      </w:r>
    </w:p>
    <w:p>
      <w:pPr>
        <w:pStyle w:val="Heading2"/>
      </w:pPr>
      <w:r>
        <w:t>Level 3 – SLT support</w:t>
      </w:r>
    </w:p>
    <w:p>
      <w:pPr/>
      <w:r>
        <w:t>Level 3 is used where behaviour is persistent, serious, substantially disrupts the learning of others, presents a safety concern, or requires coordinated senior involvement. Examples may include repeated Level 2 behaviour, fighting, intentional physical aggression, persistent serious defiance, significant property damage, serious intimidation, repeated discriminatory behaviour, leaving the classroom without permission where safety is affected, or behaviour requiring a formal support/risk plan.</w:t>
      </w:r>
    </w:p>
    <w:p>
      <w:pPr/>
      <w:r>
        <w:t>SLT may support with investigation, parent meetings, a behaviour/support plan, risk assessment, additional supervision, SENCO involvement, external-agency advice, or a short supervised removal from class where the threshold in section 14 is met. The class teacher remains involved in the pupil’s reintegration and ongoing classroom expectations.</w:t>
      </w:r>
    </w:p>
    <w:p>
      <w:pPr>
        <w:pStyle w:val="Heading2"/>
      </w:pPr>
      <w:r>
        <w:t>Level 4 – Headteacher / exceptional response</w:t>
      </w:r>
    </w:p>
    <w:p>
      <w:pPr/>
      <w:r>
        <w:t>Level 4 is reserved for exceptional incidents or decisions requiring Headteacher oversight. Examples may include serious violence or injury, use or possession of a weapon or other prohibited high-risk item, leaving the school site without permission, very serious or repeated threatening/abusive behaviour, serious or repeated prejudice-based abuse, serious damage, conduct that may amount to a criminal offence, or circumstances where suspension or permanent exclusion may need to be considered.</w:t>
      </w:r>
    </w:p>
    <w:p>
      <w:pPr/>
      <w:r>
        <w:t>The Headteacher may become involved earlier where the seriousness, safeguarding context or complexity of an incident makes this necessary. Level 4 is not intended as a routine destination for ordinary classroom behaviour.</w:t>
      </w:r>
    </w:p>
    <w:p>
      <w:pPr>
        <w:pStyle w:val="Heading1"/>
      </w:pPr>
      <w:r>
        <w:t>7. Consequences, Missed Learning and Completing Work</w:t>
      </w:r>
    </w:p>
    <w:p>
      <w:pPr/>
      <w:r>
        <w:t>Consequences should be reasonable, proportionate, related where possible to the behaviour, and applied without humiliation. They should help restore safe learning rather than become the centre of a prolonged confrontation.</w:t>
      </w:r>
    </w:p>
    <w:p>
      <w:pPr>
        <w:pStyle w:val="ListBullet"/>
      </w:pPr>
      <w:r>
        <w:t>A pupil may be required to complete learning missed because of their own behaviour during part of break or lunchtime.</w:t>
      </w:r>
    </w:p>
    <w:p>
      <w:pPr>
        <w:pStyle w:val="ListBullet"/>
      </w:pPr>
      <w:r>
        <w:t>Where a lunchtime consequence is used, reasonable time must remain for the pupil to eat, drink and use the toilet.</w:t>
      </w:r>
    </w:p>
    <w:p>
      <w:pPr>
        <w:pStyle w:val="ListBullet"/>
      </w:pPr>
      <w:r>
        <w:t>Manuden does not use after-school detention as a routine behaviour sanction.</w:t>
      </w:r>
    </w:p>
    <w:p>
      <w:pPr>
        <w:pStyle w:val="ListBullet"/>
      </w:pPr>
      <w:r>
        <w:t>If work remains incomplete, or has not been completed to a reasonable standard despite appropriate support and time, the teacher may send it home for completion and will inform the parent/carer.</w:t>
      </w:r>
    </w:p>
    <w:p>
      <w:pPr>
        <w:pStyle w:val="ListBullet"/>
      </w:pPr>
      <w:r>
        <w:t>Expectations for completion and quality must remain reasonable and take account of age, SEND, disability, family circumstances and any agreed adjustments.</w:t>
      </w:r>
    </w:p>
    <w:p>
      <w:pPr>
        <w:pStyle w:val="ListBullet"/>
      </w:pPr>
      <w:r>
        <w:t>Where behaviour has caused damage or harm, an appropriate repair may form part of the consequence, provided it is safe, proportionate and not degrading.</w:t>
      </w:r>
    </w:p>
    <w:p>
      <w:pPr>
        <w:pStyle w:val="Heading1"/>
      </w:pPr>
      <w:r>
        <w:t>8. Restorative Practice and Fresh Starts</w:t>
      </w:r>
    </w:p>
    <w:p>
      <w:pPr/>
      <w:r>
        <w:t>Restorative practice complements consequences; it does not replace them. Restorative conversations should normally take place once everyone is calm and the class is able to continue learning.</w:t>
      </w:r>
    </w:p>
    <w:p>
      <w:pPr/>
      <w:r>
        <w:t>A member of staff may use four questions:</w:t>
      </w:r>
    </w:p>
    <w:p>
      <w:pPr>
        <w:ind w:left="317" w:hanging="317"/>
      </w:pPr>
      <w:r>
        <w:t>1.  What happened?</w:t>
      </w:r>
    </w:p>
    <w:p>
      <w:pPr>
        <w:ind w:left="317" w:hanging="317"/>
      </w:pPr>
      <w:r>
        <w:t>2.  Who was affected?</w:t>
      </w:r>
    </w:p>
    <w:p>
      <w:pPr>
        <w:ind w:left="317" w:hanging="317"/>
      </w:pPr>
      <w:r>
        <w:t>3.  What needs to happen to put it right?</w:t>
      </w:r>
    </w:p>
    <w:p>
      <w:pPr>
        <w:ind w:left="317" w:hanging="317"/>
      </w:pPr>
      <w:r>
        <w:t>4.  What will you do differently next time?</w:t>
      </w:r>
    </w:p>
    <w:p>
      <w:pPr/>
      <w:r>
        <w:t>A pupil will not be forced into a face-to-face restorative meeting where this would be unsafe or inappropriate. After a consequence has been completed, adults should support a genuine fresh start while continuing any necessary monitoring or support.</w:t>
      </w:r>
    </w:p>
    <w:p>
      <w:pPr>
        <w:pStyle w:val="Heading1"/>
      </w:pPr>
      <w:r>
        <w:t>9. Recording Behaviour on CPOMS</w:t>
      </w:r>
    </w:p>
    <w:p>
      <w:pPr/>
      <w:r>
        <w:t>CPOMS is Manuden Primary School’s single central record for significant and repeated behaviour concerns. The school will not maintain parallel paper behaviour logs or separate classroom behaviour books.</w:t>
      </w:r>
    </w:p>
    <w:p>
      <w:pPr>
        <w:pStyle w:val="ListBullet"/>
      </w:pPr>
      <w:r>
        <w:t>Level 1 is not routinely recorded, unless a pattern is emerging or the information is otherwise significant.</w:t>
      </w:r>
    </w:p>
    <w:p>
      <w:pPr>
        <w:pStyle w:val="ListBullet"/>
      </w:pPr>
      <w:r>
        <w:t>Level 2, Level 3 and Level 4 incidents will normally be recorded on CPOMS.</w:t>
      </w:r>
    </w:p>
    <w:p>
      <w:pPr>
        <w:pStyle w:val="ListBullet"/>
      </w:pPr>
      <w:r>
        <w:t>Physical aggression causing injury or involving intentional harmful contact, prejudice-based/discriminatory incidents, bullying concerns, sexualised behaviour, significant online behaviour, leaving the site, high-risk prohibited items and safeguarding-related behaviour must be recorded and escalated as appropriate regardless of the behaviour level.</w:t>
      </w:r>
    </w:p>
    <w:p>
      <w:pPr>
        <w:pStyle w:val="ListBullet"/>
      </w:pPr>
      <w:r>
        <w:t>Records should be factual and include what happened, relevant context, impact, actions/consequences, parent contact where applicable and any follow-up required.</w:t>
      </w:r>
    </w:p>
    <w:p>
      <w:pPr>
        <w:pStyle w:val="ListBullet"/>
      </w:pPr>
      <w:r>
        <w:t>CPOMS should not be used simply to create a running list of every minor classroom correction; recording must remain purposeful so that patterns can be identified.</w:t>
      </w:r>
    </w:p>
    <w:p>
      <w:pPr>
        <w:pStyle w:val="Heading1"/>
      </w:pPr>
      <w:r>
        <w:t>10. Working with Parents and Carers</w:t>
      </w:r>
    </w:p>
    <w:p>
      <w:pPr/>
      <w:r>
        <w:t>The school aims to work constructively with families. Parents should normally hear first from the member of staff who knows and is managing the issue, rather than every concern automatically being escalated to SLT.</w:t>
      </w:r>
    </w:p>
    <w:p>
      <w:pPr>
        <w:pStyle w:val="ListBullet"/>
      </w:pPr>
      <w:r>
        <w:t>Level 1: parent contact is not normally required unless the teacher judges it useful.</w:t>
      </w:r>
    </w:p>
    <w:p>
      <w:pPr>
        <w:pStyle w:val="ListBullet"/>
      </w:pPr>
      <w:r>
        <w:t>Level 2: parent contact is at teacher discretion.</w:t>
      </w:r>
    </w:p>
    <w:p>
      <w:pPr>
        <w:pStyle w:val="ListBullet"/>
      </w:pPr>
      <w:r>
        <w:t>Level 3: parent contact is normally expected and may involve the teacher and an appropriate senior leader.</w:t>
      </w:r>
    </w:p>
    <w:p>
      <w:pPr>
        <w:pStyle w:val="ListBullet"/>
      </w:pPr>
      <w:r>
        <w:t>Level 4: the Headteacher or senior leader will normally contact parents/carers promptly.</w:t>
      </w:r>
    </w:p>
    <w:p>
      <w:pPr/>
      <w:r>
        <w:t>Communication will use school-approved channels. References to specific platforms are intentionally avoided so that this policy remains valid as school systems change.</w:t>
      </w:r>
    </w:p>
    <w:p>
      <w:pPr>
        <w:pStyle w:val="Heading1"/>
      </w:pPr>
      <w:r>
        <w:t>11. SEND, Disability and Individual Needs</w:t>
      </w:r>
    </w:p>
    <w:p>
      <w:pPr/>
      <w:r>
        <w:t>High expectations apply to all pupils, but fair treatment does not always mean identical treatment. The school will consider whether a pupil’s SEND, disability, communication needs, trauma, medical needs or other vulnerabilities are relevant to the behaviour and to the response required.</w:t>
      </w:r>
    </w:p>
    <w:p>
      <w:pPr/>
      <w:r>
        <w:t>The school will make reasonable adjustments where required by the Equality Act 2010 and will follow agreed provision in an EHCP, SEN Support/One Plan, risk assessment or individual behaviour/support plan. Planned regulation breaks, sensory provision or other support outside the classroom are not disciplinary removal.</w:t>
      </w:r>
    </w:p>
    <w:p>
      <w:pPr/>
      <w:r>
        <w:t>Understanding why behaviour occurred does not mean ignoring harm or abandoning expectations. Support and accountability can operate together. Where behaviour persists despite reasonable classroom strategies, the SENCO and/or SLT may help staff analyse barriers, adjust provision and plan a more individual response.</w:t>
      </w:r>
    </w:p>
    <w:p>
      <w:pPr>
        <w:pStyle w:val="Heading1"/>
      </w:pPr>
      <w:r>
        <w:t>12. Safeguarding, Bullying and Discriminatory Behaviour</w:t>
      </w:r>
    </w:p>
    <w:p>
      <w:pPr/>
      <w:r>
        <w:t>Safeguarding procedures take priority over the behaviour levels. Staff must report immediately to the DSL or a Deputy DSL any behaviour that may indicate abuse, neglect, exploitation, child-on-child abuse, harmful sexual behaviour, sexual harassment/violence or another safeguarding concern.</w:t>
      </w:r>
    </w:p>
    <w:p>
      <w:pPr/>
      <w:r>
        <w:t>Bullying and discriminatory incidents are addressed in accordance with the Anti-Bullying, Equality and Safeguarding policies. A discriminatory incident does not need to be repeated before the school acts. Such incidents must be challenged, recorded on CPOMS, addressed and monitored.</w:t>
      </w:r>
    </w:p>
    <w:p>
      <w:pPr/>
      <w:r>
        <w:t>Sexualised behaviour must be reported to the DSL or Deputy DSL so that the safeguarding context can be considered. Staff must not dismiss sexual harassment, misogyny, discriminatory abuse or other harmful behaviour as “banter”.</w:t>
      </w:r>
    </w:p>
    <w:p>
      <w:pPr/>
      <w:r>
        <w:t>A pupil will never be sanctioned simply because a safeguarding allegation or report is not substantiated. Where, after appropriate safeguarding consideration, there is clear evidence that a report was deliberately invented or malicious, the school may consider a proportionate behaviour response. The DSL will be involved before any such decision is made.</w:t>
      </w:r>
    </w:p>
    <w:p>
      <w:pPr>
        <w:pStyle w:val="Heading1"/>
      </w:pPr>
      <w:r>
        <w:t>13. Breaktimes and Lunchtimes</w:t>
      </w:r>
    </w:p>
    <w:p>
      <w:pPr/>
      <w:r>
        <w:t>The same Safe–Respectful–Ready expectations apply at break and lunchtime. Duty staff should intervene early, use the same calm language and, where appropriate, resolve low-level incidents themselves. Significant or repeated incidents should be passed to the class teacher and recorded/escalated in line with the four levels.</w:t>
      </w:r>
    </w:p>
    <w:p>
      <w:pPr/>
      <w:r>
        <w:t>A teacher or duty staff member may require a pupil to spend part of break or lunchtime completing missed work, reflecting or repairing harm. This should be proportionate and supervised as appropriate.</w:t>
      </w:r>
    </w:p>
    <w:p>
      <w:pPr>
        <w:pStyle w:val="Heading1"/>
      </w:pPr>
      <w:r>
        <w:t>14. Removal from the Classroom</w:t>
      </w:r>
    </w:p>
    <w:p>
      <w:pPr/>
      <w:r>
        <w:t>Manuden’s default expectation is that pupils remain in class and teachers manage behaviour within the classroom. Disciplinary removal from class is therefore exceptional, not a routine Level 1 or Level 2 strategy.</w:t>
      </w:r>
    </w:p>
    <w:p>
      <w:pPr/>
      <w:r>
        <w:t>A pupil may be removed temporarily where behaviour is so disruptive that the learning of others cannot continue safely or effectively, where immediate safety or stability needs to be restored, or where SLT judges that a short managed period outside class is necessary. SLT should normally be involved in this decision.</w:t>
      </w:r>
    </w:p>
    <w:p>
      <w:pPr>
        <w:pStyle w:val="ListBullet"/>
      </w:pPr>
      <w:r>
        <w:t>Removal will be for the shortest reasonable period and will be reviewed.</w:t>
      </w:r>
    </w:p>
    <w:p>
      <w:pPr>
        <w:pStyle w:val="ListBullet"/>
      </w:pPr>
      <w:r>
        <w:t>The pupil will be supervised in a suitable place and provided with meaningful work where appropriate.</w:t>
      </w:r>
    </w:p>
    <w:p>
      <w:pPr>
        <w:pStyle w:val="ListBullet"/>
      </w:pPr>
      <w:r>
        <w:t>Parents/carers will be informed on the same day where removal is used as a disciplinary response.</w:t>
      </w:r>
    </w:p>
    <w:p>
      <w:pPr>
        <w:pStyle w:val="ListBullet"/>
      </w:pPr>
      <w:r>
        <w:t>A clear plan for reintegration to the classroom will be used.</w:t>
      </w:r>
    </w:p>
    <w:p>
      <w:pPr>
        <w:pStyle w:val="ListBullet"/>
      </w:pPr>
      <w:r>
        <w:t>Planned provision outside class required by an EHCP or individual support plan is not disciplinary removal.</w:t>
      </w:r>
    </w:p>
    <w:p>
      <w:pPr>
        <w:pStyle w:val="Heading1"/>
      </w:pPr>
      <w:r>
        <w:t>15. Mobile Phones and Smart Technology</w:t>
      </w:r>
    </w:p>
    <w:p>
      <w:pPr/>
      <w:r>
        <w:t>Manuden Primary School is a mobile-phone-free school for pupils throughout the school day, including lessons, transitions, breaktimes and lunchtime.</w:t>
      </w:r>
    </w:p>
    <w:p>
      <w:pPr>
        <w:pStyle w:val="ListBullet"/>
      </w:pPr>
      <w:r>
        <w:t>Where a pupil needs to bring a mobile phone to school, it must be switched off before entering school, handed to the school office on arrival, stored securely and collected when the pupil leaves.</w:t>
      </w:r>
    </w:p>
    <w:p>
      <w:pPr>
        <w:pStyle w:val="ListBullet"/>
      </w:pPr>
      <w:r>
        <w:t>Pupils must not keep mobile phones in bags, pockets, trays or classrooms during the school day.</w:t>
      </w:r>
    </w:p>
    <w:p>
      <w:pPr>
        <w:pStyle w:val="ListBullet"/>
      </w:pPr>
      <w:r>
        <w:t>Smart watches or similar devices with communication, internet, photography or recording functions must have those functions disabled; where this cannot be managed reliably, the device may be stored at the office.</w:t>
      </w:r>
    </w:p>
    <w:p>
      <w:pPr>
        <w:pStyle w:val="ListBullet"/>
      </w:pPr>
      <w:r>
        <w:t>Reasonable adjustments or exceptional arrangements may be authorised by the Headteacher for disability, SEND, medical need or another justified circumstance.</w:t>
      </w:r>
    </w:p>
    <w:p>
      <w:pPr>
        <w:pStyle w:val="ListBullet"/>
      </w:pPr>
      <w:r>
        <w:t>A breach may result in confiscation and an appropriate behaviour consequence in line with this policy.</w:t>
      </w:r>
    </w:p>
    <w:p>
      <w:pPr>
        <w:pStyle w:val="Heading1"/>
      </w:pPr>
      <w:r>
        <w:t>16. Off-site and Online Behaviour</w:t>
      </w:r>
    </w:p>
    <w:p>
      <w:pPr/>
      <w:r>
        <w:t>Where lawful and reasonable, the school may respond to behaviour outside the school premises or school day where it affects pupil or staff safety or wellbeing, relationships within school, the orderly running of the school, or the reputation of the school. This can include behaviour while travelling to or from school, on educational visits, while representing the school, or online.</w:t>
      </w:r>
    </w:p>
    <w:p>
      <w:pPr/>
      <w:r>
        <w:t>Online bullying, harassment, threats, discriminatory abuse or other harmful conduct will be addressed through this policy alongside the Online Safety, Anti-Bullying and Child Protection and Safeguarding policies.</w:t>
      </w:r>
    </w:p>
    <w:p>
      <w:pPr>
        <w:pStyle w:val="Heading1"/>
      </w:pPr>
      <w:r>
        <w:t>17. Searching, Confiscation and Prohibited Items</w:t>
      </w:r>
    </w:p>
    <w:p>
      <w:pPr/>
      <w:r>
        <w:t>The Headteacher and authorised staff may search pupils and confiscate items where permitted by law and in accordance with current DfE Searching, Screening and Confiscation guidance. Searches must be necessary, proportionate and carried out with due regard to safeguarding, dignity and any relevant SEND or communication needs.</w:t>
      </w:r>
    </w:p>
    <w:p>
      <w:pPr/>
      <w:r>
        <w:t>Prohibited or high-risk items may include weapons, alcohol, illegal drugs, tobacco/nicotine products, fireworks, stolen items, pornographic images and any item that has been or is likely to be used to commit an offence, cause injury or damage property. Mobile phones may also be confiscated where the school’s mobile-phone rules are breached.</w:t>
      </w:r>
    </w:p>
    <w:p>
      <w:pPr>
        <w:pStyle w:val="Heading1"/>
      </w:pPr>
      <w:r>
        <w:t>18. Restrictive Intervention and Reasonable Force</w:t>
      </w:r>
    </w:p>
    <w:p>
      <w:pPr/>
      <w:r>
        <w:t>Manuden does not rely on physical intervention as a routine behaviour-management strategy. Staff should prioritise prevention, positive relationships, de-escalation and safe environmental responses.</w:t>
      </w:r>
    </w:p>
    <w:p>
      <w:pPr/>
      <w:r>
        <w:t>School staff have legal powers to use reasonable force in circumstances permitted by law where it is necessary and proportionate. Manuden staff have not undertaken a specific named restrictive-intervention programme, so this policy does not claim or assume such training. Staff must act within their competence, the law, current DfE guidance and any individual risk plan.</w:t>
      </w:r>
    </w:p>
    <w:p>
      <w:pPr/>
      <w:r>
        <w:t>Where risk assessment indicates that particular staff are likely to need to use reasonable force or other restrictive interventions, the school will arrange appropriate training in safe and lawful practice, prevention and de-escalation.</w:t>
      </w:r>
    </w:p>
    <w:p>
      <w:pPr/>
      <w:r>
        <w:t>Every significant incident involving restrictive intervention/use of force will be recorded promptly on CPOMS and any additional local-authority/incident record required will also be completed. Parents/carers will be informed in accordance with current statutory guidance, subject to any safeguarding exception or professional advice.</w:t>
      </w:r>
    </w:p>
    <w:p>
      <w:pPr>
        <w:pStyle w:val="Heading1"/>
      </w:pPr>
      <w:r>
        <w:t>19. Suspension and Permanent Exclusion</w:t>
      </w:r>
    </w:p>
    <w:p>
      <w:pPr/>
      <w:r>
        <w:t>Only the Headteacher (or acting Headteacher) may suspend or permanently exclude a pupil. These decisions will be made in accordance with current statutory guidance and will never be delegated to a classroom teacher or treated as an automatic next step in the four-level system.</w:t>
      </w:r>
    </w:p>
    <w:p>
      <w:pPr/>
      <w:r>
        <w:t>Suspension may be considered for serious incidents or persistent breaches where other responses are insufficient or where the seriousness of an incident warrants it. Permanent exclusion is a last resort and will only be considered where the statutory threshold is met. The Headteacher will consider the circumstances, evidence, safeguarding context, SEND/disability duties and the interests and safety of the wider school community.</w:t>
      </w:r>
    </w:p>
    <w:p>
      <w:pPr/>
      <w:r>
        <w:t>Following suspension, the school will support reintegration and consider whether additional support or adjustments are required to reduce the risk of recurrence.</w:t>
      </w:r>
    </w:p>
    <w:p>
      <w:pPr>
        <w:pStyle w:val="Heading1"/>
      </w:pPr>
      <w:r>
        <w:t>20. Roles and Responsibilities</w:t>
      </w:r>
    </w:p>
    <w:p>
      <w:pPr>
        <w:pStyle w:val="Heading2"/>
      </w:pPr>
      <w:r>
        <w:t>Governing Body</w:t>
      </w:r>
    </w:p>
    <w:p>
      <w:pPr>
        <w:pStyle w:val="ListBullet"/>
      </w:pPr>
      <w:r>
        <w:t>set and review the written Statement of Behaviour Principles;</w:t>
      </w:r>
    </w:p>
    <w:p>
      <w:pPr>
        <w:pStyle w:val="ListBullet"/>
      </w:pPr>
      <w:r>
        <w:t>provide strategic support and challenge to the Headteacher;</w:t>
      </w:r>
    </w:p>
    <w:p>
      <w:pPr>
        <w:pStyle w:val="ListBullet"/>
      </w:pPr>
      <w:r>
        <w:t>monitor behaviour, suspensions, exclusions and relevant trends without routinely becoming involved in individual behaviour management.</w:t>
      </w:r>
    </w:p>
    <w:p>
      <w:pPr>
        <w:pStyle w:val="Heading2"/>
      </w:pPr>
      <w:r>
        <w:t>Headteacher</w:t>
      </w:r>
    </w:p>
    <w:p>
      <w:pPr>
        <w:pStyle w:val="ListBullet"/>
      </w:pPr>
      <w:r>
        <w:t>determine and maintain this Behaviour Policy in accordance with the governors’ principles and statutory duties;</w:t>
      </w:r>
    </w:p>
    <w:p>
      <w:pPr>
        <w:pStyle w:val="ListBullet"/>
      </w:pPr>
      <w:r>
        <w:t>promote a coherent whole-school behaviour culture;</w:t>
      </w:r>
    </w:p>
    <w:p>
      <w:pPr>
        <w:pStyle w:val="ListBullet"/>
      </w:pPr>
      <w:r>
        <w:t>ensure staff understand the four-level framework and receive appropriate support;</w:t>
      </w:r>
    </w:p>
    <w:p>
      <w:pPr>
        <w:pStyle w:val="ListBullet"/>
      </w:pPr>
      <w:r>
        <w:t>monitor patterns and ensure serious incidents are appropriately overseen;</w:t>
      </w:r>
    </w:p>
    <w:p>
      <w:pPr>
        <w:pStyle w:val="ListBullet"/>
      </w:pPr>
      <w:r>
        <w:t>make suspension and permanent exclusion decisions where necessary;</w:t>
      </w:r>
    </w:p>
    <w:p>
      <w:pPr>
        <w:pStyle w:val="ListBullet"/>
      </w:pPr>
      <w:r>
        <w:t>avoid becoming the default response to routine classroom behaviour.</w:t>
      </w:r>
    </w:p>
    <w:p>
      <w:pPr>
        <w:pStyle w:val="Heading2"/>
      </w:pPr>
      <w:r>
        <w:t>Senior Leadership Team</w:t>
      </w:r>
    </w:p>
    <w:p>
      <w:pPr>
        <w:pStyle w:val="ListBullet"/>
      </w:pPr>
      <w:r>
        <w:t>support teachers with Level 3 incidents and persistent patterns;</w:t>
      </w:r>
    </w:p>
    <w:p>
      <w:pPr>
        <w:pStyle w:val="ListBullet"/>
      </w:pPr>
      <w:r>
        <w:t>help coordinate plans, parent meetings, SEND support, risk assessment or external advice where required;</w:t>
      </w:r>
    </w:p>
    <w:p>
      <w:pPr>
        <w:pStyle w:val="ListBullet"/>
      </w:pPr>
      <w:r>
        <w:t>support staff when behaviour significantly compromises safety or learning;</w:t>
      </w:r>
    </w:p>
    <w:p>
      <w:pPr>
        <w:pStyle w:val="ListBullet"/>
      </w:pPr>
      <w:r>
        <w:t>reinforce, rather than unnecessarily replace, teacher ownership.</w:t>
      </w:r>
    </w:p>
    <w:p>
      <w:pPr>
        <w:pStyle w:val="Heading2"/>
      </w:pPr>
      <w:r>
        <w:t>Teachers</w:t>
      </w:r>
    </w:p>
    <w:p>
      <w:pPr>
        <w:pStyle w:val="ListBullet"/>
      </w:pPr>
      <w:r>
        <w:t>teach routines and Safe–Respectful–Ready expectations explicitly;</w:t>
      </w:r>
    </w:p>
    <w:p>
      <w:pPr>
        <w:pStyle w:val="ListBullet"/>
      </w:pPr>
      <w:r>
        <w:t>use professional judgement and autonomy within this policy;</w:t>
      </w:r>
    </w:p>
    <w:p>
      <w:pPr>
        <w:pStyle w:val="ListBullet"/>
      </w:pPr>
      <w:r>
        <w:t>deal with Level 1 and Level 2 behaviour themselves wherever reasonably possible;</w:t>
      </w:r>
    </w:p>
    <w:p>
      <w:pPr>
        <w:pStyle w:val="ListBullet"/>
      </w:pPr>
      <w:r>
        <w:t>apply proportionate consequences and restorative follow-up;</w:t>
      </w:r>
    </w:p>
    <w:p>
      <w:pPr>
        <w:pStyle w:val="ListBullet"/>
      </w:pPr>
      <w:r>
        <w:t>record behaviour on CPOMS in accordance with section 9;</w:t>
      </w:r>
    </w:p>
    <w:p>
      <w:pPr>
        <w:pStyle w:val="ListBullet"/>
      </w:pPr>
      <w:r>
        <w:t>communicate with parents/carers in accordance with section 10;</w:t>
      </w:r>
    </w:p>
    <w:p>
      <w:pPr>
        <w:pStyle w:val="ListBullet"/>
      </w:pPr>
      <w:r>
        <w:t>seek SLT/DSL/SENCO support at the appropriate threshold.</w:t>
      </w:r>
    </w:p>
    <w:p>
      <w:pPr>
        <w:pStyle w:val="Heading2"/>
      </w:pPr>
      <w:r>
        <w:t>Support staff and midday staff</w:t>
      </w:r>
    </w:p>
    <w:p>
      <w:pPr/>
      <w:r>
        <w:t>Support staff and midday staff will reinforce the same expectations, respond to behaviour within their role and communicate significant concerns to the class teacher or appropriate senior leader. Staff should avoid creating a separate behaviour system at lunchtime or during interventions.</w:t>
      </w:r>
    </w:p>
    <w:p>
      <w:pPr>
        <w:pStyle w:val="Heading2"/>
      </w:pPr>
      <w:r>
        <w:t>Pupils</w:t>
      </w:r>
    </w:p>
    <w:p>
      <w:pPr/>
      <w:r>
        <w:t>Pupils are expected to understand and follow Safe–Respectful–Ready, accept reasonable adult direction, complete assigned learning, repair harm where appropriate and seek help when they are struggling.</w:t>
      </w:r>
    </w:p>
    <w:p>
      <w:pPr>
        <w:pStyle w:val="Heading2"/>
      </w:pPr>
      <w:r>
        <w:t>Parents and carers</w:t>
      </w:r>
    </w:p>
    <w:p>
      <w:pPr/>
      <w:r>
        <w:t>Parents/carers are expected to support the school’s behaviour expectations, communicate respectfully, work constructively with teachers and discuss concerns through appropriate school channels.</w:t>
      </w:r>
    </w:p>
    <w:p>
      <w:pPr>
        <w:pStyle w:val="Heading2"/>
      </w:pPr>
      <w:r>
        <w:t>Induction and transition</w:t>
      </w:r>
    </w:p>
    <w:p>
      <w:pPr/>
      <w:r>
        <w:t>Safe–Respectful–Ready, core routines and the four-level response framework will be explicitly revisited with pupils at the start of each academic year and when pupils join the school or move into new classes. New, temporary and supply staff will receive a concise induction to the behaviour system, including the staff quick guide, safeguarding override and CPOMS expectations relevant to their role.</w:t>
      </w:r>
    </w:p>
    <w:p>
      <w:pPr>
        <w:pStyle w:val="Heading1"/>
      </w:pPr>
      <w:r>
        <w:t>21. Monitoring and Review</w:t>
      </w:r>
    </w:p>
    <w:p>
      <w:pPr/>
      <w:r>
        <w:t>The Headteacher will monitor the implementation and impact of this policy, including CPOMS patterns, bullying/discriminatory incidents, pupil and staff experience, removals, suspensions/exclusions and the impact on pupils with SEND or other vulnerabilities.</w:t>
      </w:r>
    </w:p>
    <w:p>
      <w:pPr/>
      <w:r>
        <w:t>The policy will normally be reviewed annually and earlier where statutory guidance, school systems or significant behaviour patterns indicate that change is required.</w:t>
      </w:r>
    </w:p>
    <w:p>
      <w:r>
        <w:br w:type="page"/>
      </w:r>
    </w:p>
    <w:p>
      <w:pPr>
        <w:pStyle w:val="Heading1"/>
      </w:pPr>
      <w:r>
        <w:t>Appendix 1 – Staff Quick Guide: What Do I Do?</w:t>
      </w:r>
    </w:p>
    <w:tbl>
      <w:tblPr>
        <w:tblW w:type="auto" w:w="0"/>
        <w:jc w:val="center"/>
        <w:tblLook w:firstColumn="1" w:firstRow="1" w:lastColumn="0" w:lastRow="0" w:noHBand="0" w:noVBand="1" w:val="04A0"/>
        <w:tblBorders>
          <w:top w:val="single" w:sz="5" w:color="D7D9DE"/>
          <w:left w:val="single" w:sz="5" w:color="D7D9DE"/>
          <w:bottom w:val="single" w:sz="5" w:color="D7D9DE"/>
          <w:right w:val="single" w:sz="5" w:color="D7D9DE"/>
          <w:insideH w:val="single" w:sz="5" w:color="D7D9DE"/>
          <w:insideV w:val="single" w:sz="5" w:color="D7D9DE"/>
        </w:tblBorders>
      </w:tblPr>
      <w:tblGrid>
        <w:gridCol w:w="10166"/>
      </w:tblGrid>
      <w:tr>
        <w:trPr>
          <w:cantSplit/>
        </w:trPr>
        <w:tc>
          <w:tcPr>
            <w:tcW w:type="dxa" w:w="10166"/>
            <w:shd w:fill="FFF8D9"/>
            <w:tcMar>
              <w:top w:w="120" w:type="dxa"/>
              <w:start w:w="140" w:type="dxa"/>
              <w:bottom w:w="120" w:type="dxa"/>
              <w:end w:w="140" w:type="dxa"/>
            </w:tcMar>
          </w:tcPr>
          <w:p>
            <w:r>
              <w:rPr>
                <w:rFonts w:ascii="Aptos" w:hAnsi="Aptos"/>
                <w:b/>
                <w:color w:val="3E2B8F"/>
                <w:sz w:val="22"/>
              </w:rPr>
              <w:t>The principle</w:t>
              <w:br/>
            </w:r>
            <w:r>
              <w:rPr>
                <w:rFonts w:ascii="Aptos" w:hAnsi="Aptos"/>
                <w:color w:val="25324A"/>
                <w:sz w:val="21"/>
              </w:rPr>
              <w:t>Teachers manage behaviour. SLT supports when the threshold is reached. The Headteacher is reserved for exceptional Level 4 incidents and statutory decisions. Safeguarding concerns go straight to the DSL/Deputy DSL.</w:t>
            </w:r>
          </w:p>
        </w:tc>
      </w:tr>
    </w:tbl>
    <w:p>
      <w:pPr>
        <w:spacing w:after="0"/>
      </w:pPr>
    </w:p>
    <w:tbl>
      <w:tblPr>
        <w:tblW w:type="auto" w:w="0"/>
        <w:jc w:val="center"/>
        <w:tblLook w:firstColumn="1" w:firstRow="1" w:lastColumn="0" w:lastRow="0" w:noHBand="0" w:noVBand="1" w:val="04A0"/>
        <w:tblBorders>
          <w:top w:val="single" w:sz="4" w:color="D7D9DE"/>
          <w:left w:val="single" w:sz="4" w:color="D7D9DE"/>
          <w:bottom w:val="single" w:sz="4" w:color="D7D9DE"/>
          <w:right w:val="single" w:sz="4" w:color="D7D9DE"/>
          <w:insideH w:val="single" w:sz="4" w:color="D7D9DE"/>
          <w:insideV w:val="single" w:sz="4" w:color="D7D9DE"/>
        </w:tblBorders>
      </w:tblPr>
      <w:tblGrid>
        <w:gridCol w:w="2541"/>
        <w:gridCol w:w="2541"/>
        <w:gridCol w:w="2541"/>
        <w:gridCol w:w="2541"/>
      </w:tblGrid>
      <w:tr>
        <w:trPr>
          <w:tblHeader w:val="true"/>
          <w:cantSplit/>
        </w:trPr>
        <w:tc>
          <w:tcPr>
            <w:tcW w:type="dxa" w:w="1037"/>
            <w:shd w:fill="3E2B8F"/>
            <w:tcMar>
              <w:top w:w="80" w:type="dxa"/>
              <w:start w:w="80" w:type="dxa"/>
              <w:bottom w:w="80" w:type="dxa"/>
              <w:end w:w="80" w:type="dxa"/>
            </w:tcMar>
          </w:tcPr>
          <w:p>
            <w:r>
              <w:rPr>
                <w:rFonts w:ascii="Aptos" w:hAnsi="Aptos"/>
                <w:b/>
                <w:color w:val="FFFFFF"/>
                <w:sz w:val="18"/>
              </w:rPr>
              <w:t>Level</w:t>
            </w:r>
          </w:p>
        </w:tc>
        <w:tc>
          <w:tcPr>
            <w:tcW w:type="dxa" w:w="2448"/>
            <w:shd w:fill="3E2B8F"/>
            <w:tcMar>
              <w:top w:w="80" w:type="dxa"/>
              <w:start w:w="80" w:type="dxa"/>
              <w:bottom w:w="80" w:type="dxa"/>
              <w:end w:w="80" w:type="dxa"/>
            </w:tcMar>
          </w:tcPr>
          <w:p>
            <w:r>
              <w:rPr>
                <w:rFonts w:ascii="Aptos" w:hAnsi="Aptos"/>
                <w:b/>
                <w:color w:val="FFFFFF"/>
                <w:sz w:val="18"/>
              </w:rPr>
              <w:t>Who owns it?</w:t>
            </w:r>
          </w:p>
        </w:tc>
        <w:tc>
          <w:tcPr>
            <w:tcW w:type="dxa" w:w="3168"/>
            <w:shd w:fill="3E2B8F"/>
            <w:tcMar>
              <w:top w:w="80" w:type="dxa"/>
              <w:start w:w="80" w:type="dxa"/>
              <w:bottom w:w="80" w:type="dxa"/>
              <w:end w:w="80" w:type="dxa"/>
            </w:tcMar>
          </w:tcPr>
          <w:p>
            <w:r>
              <w:rPr>
                <w:rFonts w:ascii="Aptos" w:hAnsi="Aptos"/>
                <w:b/>
                <w:color w:val="FFFFFF"/>
                <w:sz w:val="18"/>
              </w:rPr>
              <w:t>Examples</w:t>
            </w:r>
          </w:p>
        </w:tc>
        <w:tc>
          <w:tcPr>
            <w:tcW w:type="dxa" w:w="3456"/>
            <w:shd w:fill="3E2B8F"/>
            <w:tcMar>
              <w:top w:w="80" w:type="dxa"/>
              <w:start w:w="80" w:type="dxa"/>
              <w:bottom w:w="80" w:type="dxa"/>
              <w:end w:w="80" w:type="dxa"/>
            </w:tcMar>
          </w:tcPr>
          <w:p>
            <w:r>
              <w:rPr>
                <w:rFonts w:ascii="Aptos" w:hAnsi="Aptos"/>
                <w:b/>
                <w:color w:val="FFFFFF"/>
                <w:sz w:val="18"/>
              </w:rPr>
              <w:t>What do I do?</w:t>
            </w:r>
          </w:p>
        </w:tc>
      </w:tr>
      <w:tr>
        <w:trPr>
          <w:cantSplit/>
        </w:trPr>
        <w:tc>
          <w:tcPr>
            <w:tcW w:type="dxa" w:w="1037"/>
            <w:tcMar>
              <w:top w:w="70" w:type="dxa"/>
              <w:start w:w="75" w:type="dxa"/>
              <w:bottom w:w="70" w:type="dxa"/>
              <w:end w:w="75" w:type="dxa"/>
            </w:tcMar>
            <w:shd w:fill="FFF8D9"/>
            <w:vAlign w:val="top"/>
          </w:tcPr>
          <w:p>
            <w:r>
              <w:rPr>
                <w:rFonts w:ascii="Aptos" w:hAnsi="Aptos"/>
                <w:b/>
                <w:color w:val="3E2B8F"/>
                <w:sz w:val="17"/>
              </w:rPr>
              <w:t>1</w:t>
            </w:r>
          </w:p>
        </w:tc>
        <w:tc>
          <w:tcPr>
            <w:tcW w:type="dxa" w:w="2448"/>
            <w:tcMar>
              <w:top w:w="70" w:type="dxa"/>
              <w:start w:w="75" w:type="dxa"/>
              <w:bottom w:w="70" w:type="dxa"/>
              <w:end w:w="75" w:type="dxa"/>
            </w:tcMar>
            <w:shd w:fill="FFFFFF"/>
            <w:vAlign w:val="top"/>
          </w:tcPr>
          <w:p>
            <w:r>
              <w:rPr>
                <w:rFonts w:ascii="Aptos" w:hAnsi="Aptos"/>
                <w:b w:val="0"/>
                <w:color w:val="25324A"/>
                <w:sz w:val="17"/>
              </w:rPr>
              <w:t>Teacher</w:t>
            </w:r>
          </w:p>
        </w:tc>
        <w:tc>
          <w:tcPr>
            <w:tcW w:type="dxa" w:w="3168"/>
            <w:tcMar>
              <w:top w:w="70" w:type="dxa"/>
              <w:start w:w="75" w:type="dxa"/>
              <w:bottom w:w="70" w:type="dxa"/>
              <w:end w:w="75" w:type="dxa"/>
            </w:tcMar>
            <w:shd w:fill="FFFFFF"/>
            <w:vAlign w:val="top"/>
          </w:tcPr>
          <w:p>
            <w:r>
              <w:rPr>
                <w:rFonts w:ascii="Aptos" w:hAnsi="Aptos"/>
                <w:b w:val="0"/>
                <w:color w:val="25324A"/>
                <w:sz w:val="17"/>
              </w:rPr>
              <w:t>Calling out; low-level disruption; work avoidance; minor unkindness; routine not followed.</w:t>
            </w:r>
          </w:p>
        </w:tc>
        <w:tc>
          <w:tcPr>
            <w:tcW w:type="dxa" w:w="3456"/>
            <w:tcMar>
              <w:top w:w="70" w:type="dxa"/>
              <w:start w:w="75" w:type="dxa"/>
              <w:bottom w:w="70" w:type="dxa"/>
              <w:end w:w="75" w:type="dxa"/>
            </w:tcMar>
            <w:shd w:fill="FFFFFF"/>
            <w:vAlign w:val="top"/>
          </w:tcPr>
          <w:p>
            <w:r>
              <w:rPr>
                <w:rFonts w:ascii="Aptos" w:hAnsi="Aptos"/>
                <w:b w:val="0"/>
                <w:color w:val="25324A"/>
                <w:sz w:val="17"/>
              </w:rPr>
              <w:t>Reminder/redirection; limited choice; seating/routine adjustment; brief reflection; proportionate consequence. Usually no CPOMS.</w:t>
            </w:r>
          </w:p>
        </w:tc>
      </w:tr>
      <w:tr>
        <w:trPr>
          <w:cantSplit/>
        </w:trPr>
        <w:tc>
          <w:tcPr>
            <w:tcW w:type="dxa" w:w="1037"/>
            <w:tcMar>
              <w:top w:w="70" w:type="dxa"/>
              <w:start w:w="75" w:type="dxa"/>
              <w:bottom w:w="70" w:type="dxa"/>
              <w:end w:w="75" w:type="dxa"/>
            </w:tcMar>
            <w:shd w:fill="FFF8D9"/>
            <w:vAlign w:val="top"/>
          </w:tcPr>
          <w:p>
            <w:r>
              <w:rPr>
                <w:rFonts w:ascii="Aptos" w:hAnsi="Aptos"/>
                <w:b/>
                <w:color w:val="3E2B8F"/>
                <w:sz w:val="17"/>
              </w:rPr>
              <w:t>2</w:t>
            </w:r>
          </w:p>
        </w:tc>
        <w:tc>
          <w:tcPr>
            <w:tcW w:type="dxa" w:w="2448"/>
            <w:tcMar>
              <w:top w:w="70" w:type="dxa"/>
              <w:start w:w="75" w:type="dxa"/>
              <w:bottom w:w="70" w:type="dxa"/>
              <w:end w:w="75" w:type="dxa"/>
            </w:tcMar>
            <w:shd w:fill="FFFFFF"/>
            <w:vAlign w:val="top"/>
          </w:tcPr>
          <w:p>
            <w:r>
              <w:rPr>
                <w:rFonts w:ascii="Aptos" w:hAnsi="Aptos"/>
                <w:b w:val="0"/>
                <w:color w:val="25324A"/>
                <w:sz w:val="17"/>
              </w:rPr>
              <w:t>Teacher</w:t>
            </w:r>
          </w:p>
        </w:tc>
        <w:tc>
          <w:tcPr>
            <w:tcW w:type="dxa" w:w="3168"/>
            <w:tcMar>
              <w:top w:w="70" w:type="dxa"/>
              <w:start w:w="75" w:type="dxa"/>
              <w:bottom w:w="70" w:type="dxa"/>
              <w:end w:w="75" w:type="dxa"/>
            </w:tcMar>
            <w:shd w:fill="FFFFFF"/>
            <w:vAlign w:val="top"/>
          </w:tcPr>
          <w:p>
            <w:r>
              <w:rPr>
                <w:rFonts w:ascii="Aptos" w:hAnsi="Aptos"/>
                <w:b w:val="0"/>
                <w:color w:val="25324A"/>
                <w:sz w:val="17"/>
              </w:rPr>
              <w:t>Repeated Level 1; sustained disruption; deliberate defiance; rudeness; swearing at pupil; low-level aggression; minor deliberate damage.</w:t>
            </w:r>
          </w:p>
        </w:tc>
        <w:tc>
          <w:tcPr>
            <w:tcW w:type="dxa" w:w="3456"/>
            <w:tcMar>
              <w:top w:w="70" w:type="dxa"/>
              <w:start w:w="75" w:type="dxa"/>
              <w:bottom w:w="70" w:type="dxa"/>
              <w:end w:w="75" w:type="dxa"/>
            </w:tcMar>
            <w:shd w:fill="FFFFFF"/>
            <w:vAlign w:val="top"/>
          </w:tcPr>
          <w:p>
            <w:r>
              <w:rPr>
                <w:rFonts w:ascii="Aptos" w:hAnsi="Aptos"/>
                <w:b w:val="0"/>
                <w:color w:val="25324A"/>
                <w:sz w:val="17"/>
              </w:rPr>
              <w:t>Teacher-led consequence; complete missed work; restorative follow-up; CPOMS normally; parent contact at teacher discretion.</w:t>
            </w:r>
          </w:p>
        </w:tc>
      </w:tr>
      <w:tr>
        <w:trPr>
          <w:cantSplit/>
        </w:trPr>
        <w:tc>
          <w:tcPr>
            <w:tcW w:type="dxa" w:w="1037"/>
            <w:tcMar>
              <w:top w:w="70" w:type="dxa"/>
              <w:start w:w="75" w:type="dxa"/>
              <w:bottom w:w="70" w:type="dxa"/>
              <w:end w:w="75" w:type="dxa"/>
            </w:tcMar>
            <w:shd w:fill="FFF8D9"/>
            <w:vAlign w:val="top"/>
          </w:tcPr>
          <w:p>
            <w:r>
              <w:rPr>
                <w:rFonts w:ascii="Aptos" w:hAnsi="Aptos"/>
                <w:b/>
                <w:color w:val="3E2B8F"/>
                <w:sz w:val="17"/>
              </w:rPr>
              <w:t>3</w:t>
            </w:r>
          </w:p>
        </w:tc>
        <w:tc>
          <w:tcPr>
            <w:tcW w:type="dxa" w:w="2448"/>
            <w:tcMar>
              <w:top w:w="70" w:type="dxa"/>
              <w:start w:w="75" w:type="dxa"/>
              <w:bottom w:w="70" w:type="dxa"/>
              <w:end w:w="75" w:type="dxa"/>
            </w:tcMar>
            <w:shd w:fill="FFFFFF"/>
            <w:vAlign w:val="top"/>
          </w:tcPr>
          <w:p>
            <w:r>
              <w:rPr>
                <w:rFonts w:ascii="Aptos" w:hAnsi="Aptos"/>
                <w:b w:val="0"/>
                <w:color w:val="25324A"/>
                <w:sz w:val="17"/>
              </w:rPr>
              <w:t>Teacher + SLT</w:t>
            </w:r>
          </w:p>
        </w:tc>
        <w:tc>
          <w:tcPr>
            <w:tcW w:type="dxa" w:w="3168"/>
            <w:tcMar>
              <w:top w:w="70" w:type="dxa"/>
              <w:start w:w="75" w:type="dxa"/>
              <w:bottom w:w="70" w:type="dxa"/>
              <w:end w:w="75" w:type="dxa"/>
            </w:tcMar>
            <w:shd w:fill="FFFFFF"/>
            <w:vAlign w:val="top"/>
          </w:tcPr>
          <w:p>
            <w:r>
              <w:rPr>
                <w:rFonts w:ascii="Aptos" w:hAnsi="Aptos"/>
                <w:b w:val="0"/>
                <w:color w:val="25324A"/>
                <w:sz w:val="17"/>
              </w:rPr>
              <w:t>Persistent Level 2; fighting; intentional aggression; significant disruption; safety concern; serious intimidation; behaviour needing coordinated plan.</w:t>
            </w:r>
          </w:p>
        </w:tc>
        <w:tc>
          <w:tcPr>
            <w:tcW w:type="dxa" w:w="3456"/>
            <w:tcMar>
              <w:top w:w="70" w:type="dxa"/>
              <w:start w:w="75" w:type="dxa"/>
              <w:bottom w:w="70" w:type="dxa"/>
              <w:end w:w="75" w:type="dxa"/>
            </w:tcMar>
            <w:shd w:fill="FFFFFF"/>
            <w:vAlign w:val="top"/>
          </w:tcPr>
          <w:p>
            <w:r>
              <w:rPr>
                <w:rFonts w:ascii="Aptos" w:hAnsi="Aptos"/>
                <w:b w:val="0"/>
                <w:color w:val="25324A"/>
                <w:sz w:val="17"/>
              </w:rPr>
              <w:t>Call/seek SLT support; CPOMS; parent contact; investigation/plan/risk assessment; removal only if exceptional threshold met.</w:t>
            </w:r>
          </w:p>
        </w:tc>
      </w:tr>
      <w:tr>
        <w:trPr>
          <w:cantSplit/>
        </w:trPr>
        <w:tc>
          <w:tcPr>
            <w:tcW w:type="dxa" w:w="1037"/>
            <w:tcMar>
              <w:top w:w="70" w:type="dxa"/>
              <w:start w:w="75" w:type="dxa"/>
              <w:bottom w:w="70" w:type="dxa"/>
              <w:end w:w="75" w:type="dxa"/>
            </w:tcMar>
            <w:shd w:fill="FFF8D9"/>
            <w:vAlign w:val="top"/>
          </w:tcPr>
          <w:p>
            <w:r>
              <w:rPr>
                <w:rFonts w:ascii="Aptos" w:hAnsi="Aptos"/>
                <w:b/>
                <w:color w:val="3E2B8F"/>
                <w:sz w:val="17"/>
              </w:rPr>
              <w:t>4</w:t>
            </w:r>
          </w:p>
        </w:tc>
        <w:tc>
          <w:tcPr>
            <w:tcW w:type="dxa" w:w="2448"/>
            <w:tcMar>
              <w:top w:w="70" w:type="dxa"/>
              <w:start w:w="75" w:type="dxa"/>
              <w:bottom w:w="70" w:type="dxa"/>
              <w:end w:w="75" w:type="dxa"/>
            </w:tcMar>
            <w:shd w:fill="FFFFFF"/>
            <w:vAlign w:val="top"/>
          </w:tcPr>
          <w:p>
            <w:r>
              <w:rPr>
                <w:rFonts w:ascii="Aptos" w:hAnsi="Aptos"/>
                <w:b w:val="0"/>
                <w:color w:val="25324A"/>
                <w:sz w:val="17"/>
              </w:rPr>
              <w:t>Headteacher / exceptional</w:t>
            </w:r>
          </w:p>
        </w:tc>
        <w:tc>
          <w:tcPr>
            <w:tcW w:type="dxa" w:w="3168"/>
            <w:tcMar>
              <w:top w:w="70" w:type="dxa"/>
              <w:start w:w="75" w:type="dxa"/>
              <w:bottom w:w="70" w:type="dxa"/>
              <w:end w:w="75" w:type="dxa"/>
            </w:tcMar>
            <w:shd w:fill="FFFFFF"/>
            <w:vAlign w:val="top"/>
          </w:tcPr>
          <w:p>
            <w:r>
              <w:rPr>
                <w:rFonts w:ascii="Aptos" w:hAnsi="Aptos"/>
                <w:b w:val="0"/>
                <w:color w:val="25324A"/>
                <w:sz w:val="17"/>
              </w:rPr>
              <w:t>Serious violence/injury; weapon/high-risk prohibited item; leaving site; very serious threats/abuse; serious repeated discrimination; possible suspension/exclusion.</w:t>
            </w:r>
          </w:p>
        </w:tc>
        <w:tc>
          <w:tcPr>
            <w:tcW w:type="dxa" w:w="3456"/>
            <w:tcMar>
              <w:top w:w="70" w:type="dxa"/>
              <w:start w:w="75" w:type="dxa"/>
              <w:bottom w:w="70" w:type="dxa"/>
              <w:end w:w="75" w:type="dxa"/>
            </w:tcMar>
            <w:shd w:fill="FFFFFF"/>
            <w:vAlign w:val="top"/>
          </w:tcPr>
          <w:p>
            <w:r>
              <w:rPr>
                <w:rFonts w:ascii="Aptos" w:hAnsi="Aptos"/>
                <w:b w:val="0"/>
                <w:color w:val="25324A"/>
                <w:sz w:val="17"/>
              </w:rPr>
              <w:t>Make safe; seek senior help immediately; CPOMS; Headteacher leads/oversees. 999 if emergency.</w:t>
            </w:r>
          </w:p>
        </w:tc>
      </w:tr>
    </w:tbl>
    <w:tbl>
      <w:tblPr>
        <w:tblW w:type="auto" w:w="0"/>
        <w:jc w:val="center"/>
        <w:tblLook w:firstColumn="1" w:firstRow="1" w:lastColumn="0" w:lastRow="0" w:noHBand="0" w:noVBand="1" w:val="04A0"/>
        <w:tblBorders>
          <w:top w:val="single" w:sz="5" w:color="D7D9DE"/>
          <w:left w:val="single" w:sz="5" w:color="D7D9DE"/>
          <w:bottom w:val="single" w:sz="5" w:color="D7D9DE"/>
          <w:right w:val="single" w:sz="5" w:color="D7D9DE"/>
          <w:insideH w:val="single" w:sz="5" w:color="D7D9DE"/>
          <w:insideV w:val="single" w:sz="5" w:color="D7D9DE"/>
        </w:tblBorders>
      </w:tblPr>
      <w:tblGrid>
        <w:gridCol w:w="10166"/>
      </w:tblGrid>
      <w:tr>
        <w:trPr>
          <w:cantSplit/>
        </w:trPr>
        <w:tc>
          <w:tcPr>
            <w:tcW w:type="dxa" w:w="10166"/>
            <w:shd w:fill="FDECEA"/>
            <w:tcMar>
              <w:top w:w="120" w:type="dxa"/>
              <w:start w:w="140" w:type="dxa"/>
              <w:bottom w:w="120" w:type="dxa"/>
              <w:end w:w="140" w:type="dxa"/>
            </w:tcMar>
          </w:tcPr>
          <w:p>
            <w:r>
              <w:rPr>
                <w:rFonts w:ascii="Aptos" w:hAnsi="Aptos"/>
                <w:b/>
                <w:color w:val="B42318"/>
                <w:sz w:val="22"/>
              </w:rPr>
              <w:t>Safeguarding override</w:t>
              <w:br/>
            </w:r>
            <w:r>
              <w:rPr>
                <w:rFonts w:ascii="Aptos" w:hAnsi="Aptos"/>
                <w:color w:val="25324A"/>
                <w:sz w:val="21"/>
              </w:rPr>
              <w:t>Possible abuse, neglect, exploitation, sexualised behaviour, child-on-child abuse, significant online harm or another safeguarding concern? Report immediately to the DSL/Deputy DSL. Do not wait for a behaviour level to be decided.</w:t>
            </w:r>
          </w:p>
        </w:tc>
      </w:tr>
    </w:tbl>
    <w:p>
      <w:pPr>
        <w:spacing w:after="0"/>
      </w:pPr>
    </w:p>
    <w:p>
      <w:r>
        <w:br w:type="page"/>
      </w:r>
    </w:p>
    <w:p>
      <w:pPr>
        <w:pStyle w:val="Heading1"/>
      </w:pPr>
      <w:r>
        <w:t>Appendix 1 – Staff Quick Guide: How Do I Respond?</w:t>
      </w:r>
    </w:p>
    <w:p>
      <w:pPr>
        <w:pStyle w:val="Heading2"/>
      </w:pPr>
      <w:r>
        <w:t>Use calm, brief language</w:t>
      </w:r>
    </w:p>
    <w:p>
      <w:pPr>
        <w:ind w:left="317" w:hanging="317"/>
      </w:pPr>
      <w:r>
        <w:t>1.  Reminder: “Safe, Respectful, Ready.”</w:t>
      </w:r>
    </w:p>
    <w:p>
      <w:pPr>
        <w:ind w:left="317" w:hanging="317"/>
      </w:pPr>
      <w:r>
        <w:t>2.  State the behaviour needed: “I need you to…”</w:t>
      </w:r>
    </w:p>
    <w:p>
      <w:pPr>
        <w:ind w:left="317" w:hanging="317"/>
      </w:pPr>
      <w:r>
        <w:t>3.  If needed, offer a limited choice: “You can… or…”</w:t>
      </w:r>
    </w:p>
    <w:p>
      <w:pPr>
        <w:ind w:left="317" w:hanging="317"/>
      </w:pPr>
      <w:r>
        <w:t>4.  State the consequence calmly if behaviour continues.</w:t>
      </w:r>
    </w:p>
    <w:p>
      <w:pPr>
        <w:ind w:left="317" w:hanging="317"/>
      </w:pPr>
      <w:r>
        <w:t>5.  Give take-up time. Avoid a public debate. Return attention to learning.</w:t>
      </w:r>
    </w:p>
    <w:p>
      <w:pPr>
        <w:pStyle w:val="Heading2"/>
      </w:pPr>
      <w:r>
        <w:t>When a pupil is escalating</w:t>
      </w:r>
    </w:p>
    <w:p>
      <w:pPr/>
      <w:r>
        <w:t>Reduce language and audience. Use a calm tone and safe space. Try: “I can see something has happened. I’m here to help. We can talk when you are calm. Right now I need you to…” If learning or safety cannot continue, seek SLT support.</w:t>
      </w:r>
    </w:p>
    <w:p>
      <w:pPr>
        <w:pStyle w:val="Heading2"/>
      </w:pPr>
      <w:r>
        <w:t>CPOMS – record when it matters</w:t>
      </w:r>
    </w:p>
    <w:p>
      <w:pPr>
        <w:pStyle w:val="ListBullet"/>
      </w:pPr>
      <w:r>
        <w:t>No separate paper/class behaviour logs.</w:t>
      </w:r>
    </w:p>
    <w:p>
      <w:pPr>
        <w:pStyle w:val="ListBullet"/>
      </w:pPr>
      <w:r>
        <w:t>Level 1: usually not recorded unless a pattern is emerging.</w:t>
      </w:r>
    </w:p>
    <w:p>
      <w:pPr>
        <w:pStyle w:val="ListBullet"/>
      </w:pPr>
      <w:r>
        <w:t>Level 2–4: normally record on CPOMS.</w:t>
      </w:r>
    </w:p>
    <w:p>
      <w:pPr>
        <w:pStyle w:val="ListBullet"/>
      </w:pPr>
      <w:r>
        <w:t>Always record/escalate as appropriate: intentional harmful physical aggression, discriminatory incidents, bullying concerns, sexualised behaviour, significant online behaviour, leaving site, high-risk prohibited items and safeguarding-related behaviour.</w:t>
      </w:r>
    </w:p>
    <w:p>
      <w:pPr>
        <w:pStyle w:val="ListBullet"/>
      </w:pPr>
      <w:r>
        <w:t>Record facts, impact, action, parent contact and follow-up.</w:t>
      </w:r>
    </w:p>
    <w:p>
      <w:pPr>
        <w:pStyle w:val="Heading2"/>
      </w:pPr>
      <w:r>
        <w:t>Work not completed because of behaviour</w:t>
      </w:r>
    </w:p>
    <w:p>
      <w:pPr/>
      <w:r>
        <w:t>Use part of break/lunch to complete missed work, while allowing reasonable time to eat, drink and use the toilet. If work remains incomplete or below a reasonable standard, it may be sent home; tell the parent/carer. Manuden does not use after-school detention as a routine sanction.</w:t>
      </w:r>
    </w:p>
    <w:p>
      <w:pPr>
        <w:pStyle w:val="Heading2"/>
      </w:pPr>
      <w:r>
        <w:t>Removal from class</w:t>
      </w:r>
    </w:p>
    <w:p>
      <w:pPr/>
      <w:r>
        <w:t>Not a routine strategy. Pupils remain in class unless an EHCP/individual plan provides otherwise, or behaviour is so disruptive or unsafe that learning cannot continue. In that situation, involve SLT and use the shortest supervised removal necessary, with reintegration planned.</w:t>
      </w:r>
    </w:p>
    <w:p>
      <w:pPr>
        <w:pStyle w:val="Heading2"/>
      </w:pPr>
      <w:r>
        <w:t>Restorative follow-up</w:t>
      </w:r>
    </w:p>
    <w:p>
      <w:pPr/>
      <w:r>
        <w:t>When calm: What happened? Who was affected? What needs to happen to put it right? What will you do differently next time? Then give a genuine fresh start.</w:t>
      </w:r>
    </w:p>
    <w:tbl>
      <w:tblPr>
        <w:tblW w:type="auto" w:w="0"/>
        <w:jc w:val="center"/>
        <w:tblLook w:firstColumn="1" w:firstRow="1" w:lastColumn="0" w:lastRow="0" w:noHBand="0" w:noVBand="1" w:val="04A0"/>
        <w:tblBorders>
          <w:top w:val="single" w:sz="5" w:color="D7D9DE"/>
          <w:left w:val="single" w:sz="5" w:color="D7D9DE"/>
          <w:bottom w:val="single" w:sz="5" w:color="D7D9DE"/>
          <w:right w:val="single" w:sz="5" w:color="D7D9DE"/>
          <w:insideH w:val="single" w:sz="5" w:color="D7D9DE"/>
          <w:insideV w:val="single" w:sz="5" w:color="D7D9DE"/>
        </w:tblBorders>
      </w:tblPr>
      <w:tblGrid>
        <w:gridCol w:w="10166"/>
      </w:tblGrid>
      <w:tr>
        <w:trPr>
          <w:cantSplit/>
        </w:trPr>
        <w:tc>
          <w:tcPr>
            <w:tcW w:type="dxa" w:w="10166"/>
            <w:shd w:fill="EEEAF8"/>
            <w:tcMar>
              <w:top w:w="120" w:type="dxa"/>
              <w:start w:w="140" w:type="dxa"/>
              <w:bottom w:w="120" w:type="dxa"/>
              <w:end w:w="140" w:type="dxa"/>
            </w:tcMar>
          </w:tcPr>
          <w:p>
            <w:r>
              <w:rPr>
                <w:rFonts w:ascii="Aptos" w:hAnsi="Aptos"/>
                <w:b/>
                <w:color w:val="3E2B8F"/>
                <w:sz w:val="22"/>
              </w:rPr>
              <w:t>Remember</w:t>
              <w:br/>
            </w:r>
            <w:r>
              <w:rPr>
                <w:rFonts w:ascii="Aptos" w:hAnsi="Aptos"/>
                <w:color w:val="25324A"/>
                <w:sz w:val="21"/>
              </w:rPr>
              <w:t>Do not send routine behaviour to the Headteacher. Do use the Headteacher positively: pupils may bring excellent work or another worthy achievement to the office for a Headteacher sticker.</w:t>
            </w:r>
          </w:p>
        </w:tc>
      </w:tr>
    </w:tbl>
    <w:p>
      <w:pPr>
        <w:spacing w:after="0"/>
      </w:pPr>
    </w:p>
    <w:sectPr w:rsidR="00FC693F" w:rsidRPr="0006063C" w:rsidSect="00034616">
      <w:footerReference w:type="default" r:id="rId10"/>
      <w:pgSz w:w="12240" w:h="15840"/>
      <w:pgMar w:top="792" w:right="1037" w:bottom="835" w:left="1037" w:header="288"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Bdr>
        <w:top w:val="single" w:sz="8" w:space="4" w:color="3E2B8F"/>
      </w:pBdr>
    </w:pPr>
    <w:r>
      <w:rPr>
        <w:rFonts w:ascii="Aptos" w:hAnsi="Aptos" w:eastAsia="Aptos" w:cs="Aptos"/>
        <w:b w:val="0"/>
        <w:color w:val="5F6B7A"/>
        <w:sz w:val="14"/>
      </w:rPr>
      <w:t>MANUDEN PRIMARY SCHOOL  |  The Street, Manuden, Bishop’s Stortford, CM23 1DE  |  01279 813370</w:t>
    </w:r>
  </w:p>
  <w:p>
    <w:pPr>
      <w:spacing w:before="20" w:after="0"/>
      <w:jc w:val="center"/>
    </w:pPr>
    <w:r>
      <w:rPr>
        <w:rFonts w:ascii="Aptos" w:hAnsi="Aptos" w:eastAsia="Aptos" w:cs="Aptos"/>
        <w:b w:val="0"/>
        <w:color w:val="5F6B7A"/>
        <w:sz w:val="14"/>
      </w:rPr>
      <w:t>www.manudenprimary.co.uk  |  office@manuden.essex.sch.uk</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9" w:lineRule="auto"/>
    </w:pPr>
    <w:rPr>
      <w:rFonts w:ascii="Aptos" w:hAnsi="Aptos"/>
      <w:color w:val="25324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00" w:after="80"/>
      <w:outlineLvl w:val="0"/>
    </w:pPr>
    <w:rPr>
      <w:rFonts w:asciiTheme="majorHAnsi" w:eastAsiaTheme="majorEastAsia" w:hAnsiTheme="majorHAnsi" w:cstheme="majorBidi" w:ascii="Aptos" w:hAnsi="Aptos" w:eastAsia="Aptos" w:cs="Aptos"/>
      <w:b/>
      <w:bCs/>
      <w:color w:val="3E2B8F"/>
      <w:sz w:val="30"/>
      <w:szCs w:val="28"/>
    </w:rPr>
  </w:style>
  <w:style w:type="paragraph" w:styleId="Heading2">
    <w:name w:val="heading 2"/>
    <w:basedOn w:val="Normal"/>
    <w:next w:val="Normal"/>
    <w:link w:val="Heading2Char"/>
    <w:uiPriority w:val="9"/>
    <w:unhideWhenUsed/>
    <w:qFormat/>
    <w:rsid w:val="00FC693F"/>
    <w:pPr>
      <w:keepNext/>
      <w:keepLines/>
      <w:spacing w:before="140" w:after="80"/>
      <w:outlineLvl w:val="1"/>
    </w:pPr>
    <w:rPr>
      <w:rFonts w:asciiTheme="majorHAnsi" w:eastAsiaTheme="majorEastAsia" w:hAnsiTheme="majorHAnsi" w:cstheme="majorBidi" w:ascii="Aptos" w:hAnsi="Aptos" w:eastAsia="Aptos" w:cs="Aptos"/>
      <w:b/>
      <w:bCs/>
      <w:color w:val="25324A"/>
      <w:sz w:val="24"/>
      <w:szCs w:val="26"/>
    </w:rPr>
  </w:style>
  <w:style w:type="paragraph" w:styleId="Heading3">
    <w:name w:val="heading 3"/>
    <w:basedOn w:val="Normal"/>
    <w:next w:val="Normal"/>
    <w:link w:val="Heading3Char"/>
    <w:uiPriority w:val="9"/>
    <w:unhideWhenUsed/>
    <w:qFormat/>
    <w:rsid w:val="00FC693F"/>
    <w:pPr>
      <w:keepNext/>
      <w:keepLines/>
      <w:spacing w:before="140" w:after="80"/>
      <w:outlineLvl w:val="2"/>
    </w:pPr>
    <w:rPr>
      <w:rFonts w:asciiTheme="majorHAnsi" w:eastAsiaTheme="majorEastAsia" w:hAnsiTheme="majorHAnsi" w:cstheme="majorBidi" w:ascii="Aptos" w:hAnsi="Aptos" w:eastAsia="Aptos" w:cs="Aptos"/>
      <w:b/>
      <w:bCs/>
      <w:color w:val="25324A"/>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Aptos" w:hAnsi="Aptos"/>
      <w:color w:val="25324A"/>
      <w:sz w:val="21"/>
    </w:rPr>
  </w:style>
  <w:style w:type="paragraph" w:styleId="ListBullet2">
    <w:name w:val="List Bullet 2"/>
    <w:basedOn w:val="Normal"/>
    <w:uiPriority w:val="99"/>
    <w:unhideWhenUsed/>
    <w:rsid w:val="00326F90"/>
    <w:pPr>
      <w:numPr>
        <w:numId w:val="2"/>
      </w:numPr>
      <w:contextualSpacing/>
    </w:pPr>
    <w:rPr>
      <w:rFonts w:ascii="Aptos" w:hAnsi="Aptos"/>
      <w:color w:val="25324A"/>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Aptos" w:hAnsi="Aptos"/>
      <w:color w:val="25324A"/>
      <w:sz w:val="21"/>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 Id="rId11" Type="http://schemas.openxmlformats.org/officeDocument/2006/relationships/hyperlink" Target="https://www.gov.uk/government/publications/health-and-safety-advice-for-schools/responsibilities-and-duties-for-schools" TargetMode="External"/><Relationship Id="rId12" Type="http://schemas.openxmlformats.org/officeDocument/2006/relationships/hyperlink" Target="https://www.hse.gov.uk/education/" TargetMode="External"/><Relationship Id="rId13" Type="http://schemas.openxmlformats.org/officeDocument/2006/relationships/hyperlink" Target="https://www.hse.gov.uk/riddor/" TargetMode="External"/><Relationship Id="rId14" Type="http://schemas.openxmlformats.org/officeDocument/2006/relationships/hyperlink" Target="https://schools.essex.gov.uk/school-management/health-and-safe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Manuden Primary School Health and Safety Policy 2026-27</dc:title>
  <dc:subject>Health and Safety Policy</dc:subject>
  <dc:creator>Manuden Primary School</dc:creator>
  <cp:keywords>health and safety, school, Manuden, Essex</cp:keywords>
  <dc:description>generated by python-docx</dc:description>
  <cp:lastModifiedBy/>
  <cp:revision>1</cp:revision>
  <dcterms:created xsi:type="dcterms:W3CDTF">2013-12-23T23:15:00Z</dcterms:created>
  <dcterms:modified xsi:type="dcterms:W3CDTF">2013-12-23T23:15:00Z</dcterms:modified>
  <cp:category/>
</cp:coreProperties>
</file>