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6984"/>
        <w:gridCol w:w="2520"/>
      </w:tblGrid>
      <w:tr>
        <w:trPr>
          <w:cantSplit/>
        </w:trPr>
        <w:tc>
          <w:tcPr>
            <w:tcW w:type="dxa" w:w="5083"/>
            <w:tcMar>
              <w:top w:w="20" w:type="dxa"/>
              <w:start w:w="10" w:type="dxa"/>
              <w:bottom w:w="20" w:type="dxa"/>
              <w:end w:w="10" w:type="dxa"/>
            </w:tcMar>
            <w:vAlign w:val="center"/>
          </w:tcPr>
          <w:p>
            <w:pPr>
              <w:jc w:val="left"/>
            </w:pPr>
            <w:r>
              <w:rPr>
                <w:rFonts w:ascii="Aptos Display" w:hAnsi="Aptos Display" w:eastAsia="Aptos Display" w:cs="Aptos Display"/>
                <w:b/>
                <w:color w:val="3E2B8F"/>
                <w:sz w:val="46"/>
              </w:rPr>
              <w:t>MANUDEN</w:t>
            </w:r>
            <w:r>
              <w:rPr>
                <w:rFonts w:ascii="Aptos" w:hAnsi="Aptos" w:eastAsia="Aptos" w:cs="Aptos"/>
                <w:b/>
                <w:color w:val="F3C300"/>
                <w:sz w:val="25"/>
              </w:rPr>
              <w:t xml:space="preserve">  PRIMARY SCHOOL</w:t>
            </w:r>
          </w:p>
          <w:p>
            <w:pPr>
              <w:spacing w:after="0"/>
            </w:pPr>
            <w:r>
              <w:rPr>
                <w:rFonts w:ascii="Aptos" w:hAnsi="Aptos" w:eastAsia="Aptos" w:cs="Aptos"/>
                <w:b w:val="0"/>
                <w:color w:val="25324A"/>
                <w:sz w:val="19"/>
              </w:rPr>
              <w:t>A Small School with Big Ideas</w:t>
            </w:r>
          </w:p>
        </w:tc>
        <w:tc>
          <w:tcPr>
            <w:tcW w:type="dxa" w:w="5083"/>
            <w:tcMar>
              <w:top w:w="20" w:type="dxa"/>
              <w:start w:w="10" w:type="dxa"/>
              <w:bottom w:w="20" w:type="dxa"/>
              <w:end w:w="10" w:type="dxa"/>
            </w:tcMar>
            <w:vAlign w:val="center"/>
          </w:tcPr>
          <w:p>
            <w:pPr>
              <w:jc w:val="center"/>
            </w:pPr>
            <w:r>
              <w:drawing>
                <wp:inline xmlns:a="http://schemas.openxmlformats.org/drawingml/2006/main" xmlns:pic="http://schemas.openxmlformats.org/drawingml/2006/picture">
                  <wp:extent cx="1115568" cy="1208767"/>
                  <wp:docPr id="1" name="Picture 1" descr="Manuden Primary School logo"/>
                  <wp:cNvGraphicFramePr>
                    <a:graphicFrameLocks noChangeAspect="1"/>
                  </wp:cNvGraphicFramePr>
                  <a:graphic>
                    <a:graphicData uri="http://schemas.openxmlformats.org/drawingml/2006/picture">
                      <pic:pic>
                        <pic:nvPicPr>
                          <pic:cNvPr id="0" name="manuden_logo_clean.png"/>
                          <pic:cNvPicPr/>
                        </pic:nvPicPr>
                        <pic:blipFill>
                          <a:blip r:embed="rId9"/>
                          <a:stretch>
                            <a:fillRect/>
                          </a:stretch>
                        </pic:blipFill>
                        <pic:spPr>
                          <a:xfrm>
                            <a:off x="0" y="0"/>
                            <a:ext cx="1115568" cy="1208767"/>
                          </a:xfrm>
                          <a:prstGeom prst="rect"/>
                        </pic:spPr>
                      </pic:pic>
                    </a:graphicData>
                  </a:graphic>
                </wp:inline>
              </w:drawing>
            </w:r>
          </w:p>
          <w:p>
            <w:pPr>
              <w:spacing w:after="0"/>
              <w:jc w:val="center"/>
            </w:pPr>
            <w:r>
              <w:rPr>
                <w:rFonts w:ascii="Aptos" w:hAnsi="Aptos" w:eastAsia="Aptos" w:cs="Aptos"/>
                <w:b/>
                <w:color w:val="3E2B8F"/>
                <w:sz w:val="16"/>
              </w:rPr>
              <w:t>POLICY DOCUMENT</w:t>
            </w:r>
          </w:p>
        </w:tc>
      </w:tr>
    </w:tbl>
    <w:p>
      <w:pPr>
        <w:spacing w:before="60" w:after="280"/>
        <w:pBdr>
          <w:bottom w:val="single" w:sz="24" w:space="3" w:color="F3C300"/>
        </w:pBdr>
      </w:pPr>
    </w:p>
    <w:p>
      <w:pPr>
        <w:spacing w:after="60"/>
        <w:jc w:val="center"/>
      </w:pPr>
      <w:r>
        <w:rPr>
          <w:rFonts w:ascii="Aptos" w:hAnsi="Aptos"/>
          <w:b/>
          <w:color w:val="3E2B8F"/>
          <w:sz w:val="42"/>
        </w:rPr>
        <w:t>EQUALITY INFORMATION AND OBJECTIVES</w:t>
      </w:r>
    </w:p>
    <w:p>
      <w:pPr>
        <w:spacing w:after="260"/>
        <w:jc w:val="center"/>
      </w:pPr>
      <w:r>
        <w:rPr>
          <w:rFonts w:ascii="Aptos" w:hAnsi="Aptos"/>
          <w:b/>
          <w:color w:val="25324A"/>
          <w:sz w:val="24"/>
        </w:rPr>
        <w:t>2026–30</w:t>
      </w:r>
    </w:p>
    <w:p>
      <w:pPr>
        <w:spacing w:after="240"/>
        <w:jc w:val="center"/>
      </w:pPr>
      <w:r>
        <w:rPr>
          <w:rFonts w:ascii="Aptos" w:hAnsi="Aptos" w:eastAsia="Aptos" w:cs="Aptos"/>
          <w:b w:val="0"/>
          <w:color w:val="25324A"/>
          <w:sz w:val="21"/>
        </w:rPr>
        <w:t>Growing Hearts  •  Growing Minds  •  Growing Dreams</w:t>
      </w:r>
    </w:p>
    <w:tbl>
      <w:tblPr>
        <w:tblW w:type="auto" w:w="0"/>
        <w:jc w:val="center"/>
        <w:tblLayout w:type="fixed"/>
        <w:tblLook w:firstColumn="1" w:firstRow="1" w:lastColumn="0" w:lastRow="0" w:noHBand="0" w:noVBand="1" w:val="04A0"/>
      </w:tblPr>
      <w:tblGrid>
        <w:gridCol w:w="3139"/>
        <w:gridCol w:w="3139"/>
        <w:gridCol w:w="3139"/>
      </w:tblGrid>
      <w:tr>
        <w:trPr>
          <w:cantSplit/>
        </w:trPr>
        <w:tc>
          <w:tcPr>
            <w:tcW w:type="dxa" w:w="3389"/>
            <w:tcMar>
              <w:top w:w="0" w:type="dxa"/>
              <w:start w:w="0" w:type="dxa"/>
              <w:bottom w:w="0" w:type="dxa"/>
              <w:end w:w="0" w:type="dxa"/>
            </w:tcMar>
            <w:shd w:fill="3E2B8F"/>
          </w:tcPr>
          <w:p>
            <w:pPr>
              <w:spacing w:after="0"/>
            </w:pPr>
            <w:r>
              <w:rPr>
                <w:rFonts w:ascii="Aptos" w:hAnsi="Aptos" w:eastAsia="Aptos" w:cs="Aptos"/>
                <w:sz w:val="4"/>
              </w:rPr>
              <w:t xml:space="preserve"> </w:t>
            </w:r>
          </w:p>
        </w:tc>
        <w:tc>
          <w:tcPr>
            <w:tcW w:type="dxa" w:w="3389"/>
            <w:tcMar>
              <w:top w:w="0" w:type="dxa"/>
              <w:start w:w="0" w:type="dxa"/>
              <w:bottom w:w="0" w:type="dxa"/>
              <w:end w:w="0" w:type="dxa"/>
            </w:tcMar>
            <w:shd w:fill="F3C300"/>
          </w:tcPr>
          <w:p>
            <w:pPr>
              <w:spacing w:after="0"/>
            </w:pPr>
            <w:r>
              <w:rPr>
                <w:rFonts w:ascii="Aptos" w:hAnsi="Aptos" w:eastAsia="Aptos" w:cs="Aptos"/>
                <w:sz w:val="4"/>
              </w:rPr>
              <w:t xml:space="preserve"> </w:t>
            </w:r>
          </w:p>
        </w:tc>
        <w:tc>
          <w:tcPr>
            <w:tcW w:type="dxa" w:w="3389"/>
            <w:tcMar>
              <w:top w:w="0" w:type="dxa"/>
              <w:start w:w="0" w:type="dxa"/>
              <w:bottom w:w="0" w:type="dxa"/>
              <w:end w:w="0" w:type="dxa"/>
            </w:tcMar>
            <w:shd w:fill="3E2B8F"/>
          </w:tcPr>
          <w:p>
            <w:pPr>
              <w:spacing w:after="0"/>
            </w:pPr>
            <w:r>
              <w:rPr>
                <w:rFonts w:ascii="Aptos" w:hAnsi="Aptos" w:eastAsia="Aptos" w:cs="Aptos"/>
                <w:sz w:val="4"/>
              </w:rPr>
              <w:t xml:space="preserve"> </w:t>
            </w:r>
          </w:p>
        </w:tc>
      </w:tr>
    </w:tbl>
    <w:p>
      <w:pPr>
        <w:spacing w:after="100"/>
        <w:pBdr>
          <w:bottom w:val="single" w:sz="8" w:space="3" w:color="3E2B8F"/>
        </w:pBdr>
      </w:pPr>
      <w:r>
        <w:rPr>
          <w:rFonts w:ascii="Aptos" w:hAnsi="Aptos" w:eastAsia="Aptos" w:cs="Aptos"/>
          <w:b/>
          <w:color w:val="25324A"/>
          <w:sz w:val="22"/>
        </w:rPr>
        <w:t>POLICY INFORMATION</w:t>
      </w:r>
    </w:p>
    <w:tbl>
      <w:tblPr>
        <w:tblW w:type="auto" w:w="0"/>
        <w:jc w:val="center"/>
        <w:tblLayout w:type="fixed"/>
        <w:tblLook w:firstColumn="1" w:firstRow="1" w:lastColumn="0" w:lastRow="0" w:noHBand="0" w:noVBand="1" w:val="04A0"/>
      </w:tblPr>
      <w:tblGrid>
        <w:gridCol w:w="2952"/>
        <w:gridCol w:w="6408"/>
      </w:tblGrid>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Policy owner / lead</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Phil Molyneux – Headteacher; Governing Body oversight</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Approved by</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Governing Body</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Approval / adoption date</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To be confirmed following Governing Body approval</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Next review date</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March 2027 (annual equality information update)</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Review cycle</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Equality information updated annually; objectives formally renewed at least every four years</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Version</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1.0</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Policy status</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Statutory Public Sector Equality Duty publication</w:t>
            </w:r>
          </w:p>
        </w:tc>
      </w:tr>
    </w:tbl>
    <w:p>
      <w:pPr>
        <w:spacing w:before="180" w:after="60"/>
      </w:pPr>
      <w:r>
        <w:rPr>
          <w:rFonts w:ascii="Aptos" w:hAnsi="Aptos"/>
          <w:b/>
          <w:color w:val="25324A"/>
          <w:sz w:val="20"/>
        </w:rPr>
        <w:t xml:space="preserve">This document applies to: </w:t>
      </w:r>
      <w:r>
        <w:rPr>
          <w:rFonts w:ascii="Aptos" w:hAnsi="Aptos"/>
          <w:color w:val="25324A"/>
          <w:sz w:val="20"/>
        </w:rPr>
        <w:t>the whole school community and the school’s functions as an education provider, employer and public authority.</w:t>
      </w:r>
    </w:p>
    <w:p>
      <w:pPr>
        <w:spacing w:after="0"/>
      </w:pPr>
      <w:r>
        <w:rPr>
          <w:rFonts w:ascii="Aptos" w:hAnsi="Aptos"/>
          <w:b/>
          <w:color w:val="25324A"/>
          <w:sz w:val="20"/>
        </w:rPr>
        <w:t xml:space="preserve">Related documents: </w:t>
      </w:r>
      <w:r>
        <w:rPr>
          <w:rFonts w:ascii="Aptos" w:hAnsi="Aptos"/>
          <w:color w:val="25324A"/>
          <w:sz w:val="20"/>
        </w:rPr>
        <w:t>SEND Policy; SEN Information Report; Accessibility Plan; Behaviour Policy; Anti-Bullying Policy; Child Protection and Safeguarding Policy; Relationships/RSHE Policy; Complaints Policy; Parent and Carer Code of Conduct; Staff Code of Conduct.</w:t>
      </w:r>
    </w:p>
    <w:p>
      <w:r>
        <w:rPr>
          <w:rFonts w:ascii="Aptos" w:hAnsi="Aptos"/>
        </w:rPr>
        <w:br w:type="page"/>
      </w:r>
    </w:p>
    <w:p>
      <w:pPr>
        <w:pStyle w:val="Heading1"/>
      </w:pPr>
      <w:r>
        <w:t>1. Purpose and Legal Context</w:t>
      </w:r>
    </w:p>
    <w:p>
      <w:pPr/>
      <w:r>
        <w:rPr>
          <w:rFonts w:ascii="Aptos" w:hAnsi="Aptos"/>
          <w:color w:val="25324A"/>
          <w:sz w:val="22"/>
        </w:rPr>
        <w:t>Manuden Primary School is committed to equality, inclusion and respect. We want every pupil and adult to feel that they belong, are treated fairly and are able to participate fully in school life.</w:t>
      </w:r>
    </w:p>
    <w:p>
      <w:pPr/>
      <w:r>
        <w:rPr>
          <w:rFonts w:ascii="Aptos" w:hAnsi="Aptos"/>
          <w:color w:val="25324A"/>
          <w:sz w:val="22"/>
        </w:rPr>
        <w:t>This document explains how Manuden Primary School meets the Public Sector Equality Duty (PSED) under section 149 of the Equality Act 2010 and sets out the equality objectives that will guide our work from 2026 to 2030.</w:t>
      </w:r>
    </w:p>
    <w:p>
      <w:pPr/>
      <w:r>
        <w:rPr>
          <w:rFonts w:ascii="Aptos" w:hAnsi="Aptos"/>
          <w:color w:val="25324A"/>
          <w:sz w:val="22"/>
        </w:rPr>
        <w:t>As a maintained school and public authority, we must have due regard to the need to:</w:t>
      </w:r>
    </w:p>
    <w:p>
      <w:pPr>
        <w:pStyle w:val="ListBullet"/>
      </w:pPr>
      <w:r>
        <w:rPr>
          <w:rFonts w:ascii="Aptos" w:hAnsi="Aptos"/>
          <w:color w:val="25324A"/>
          <w:sz w:val="22"/>
        </w:rPr>
        <w:t>eliminate unlawful discrimination, harassment, victimisation and other conduct prohibited by the Equality Act 2010;</w:t>
      </w:r>
    </w:p>
    <w:p>
      <w:pPr>
        <w:pStyle w:val="ListBullet"/>
      </w:pPr>
      <w:r>
        <w:rPr>
          <w:rFonts w:ascii="Aptos" w:hAnsi="Aptos"/>
          <w:color w:val="25324A"/>
          <w:sz w:val="22"/>
        </w:rPr>
        <w:t>advance equality of opportunity between people who share a relevant protected characteristic and those who do not;</w:t>
      </w:r>
    </w:p>
    <w:p>
      <w:pPr>
        <w:pStyle w:val="ListBullet"/>
      </w:pPr>
      <w:r>
        <w:rPr>
          <w:rFonts w:ascii="Aptos" w:hAnsi="Aptos"/>
          <w:color w:val="25324A"/>
          <w:sz w:val="22"/>
        </w:rPr>
        <w:t>foster good relations between people who share a relevant protected characteristic and those who do not.</w:t>
      </w:r>
    </w:p>
    <w:p>
      <w:pPr/>
      <w:r>
        <w:rPr>
          <w:rFonts w:ascii="Aptos" w:hAnsi="Aptos"/>
          <w:color w:val="25324A"/>
          <w:sz w:val="22"/>
        </w:rPr>
        <w:t>The school must publish information showing how it complies with the PSED and update that information at least annually. It must also publish one or more specific and measurable equality objectives and renew them at least every four years.</w:t>
      </w:r>
    </w:p>
    <w:tbl>
      <w:tblPr>
        <w:tblW w:type="auto" w:w="0"/>
        <w:jc w:val="center"/>
        <w:tblLook w:firstColumn="1" w:firstRow="1" w:lastColumn="0" w:lastRow="0" w:noHBand="0" w:noVBand="1" w:val="04A0"/>
        <w:tblBorders>
          <w:top w:val="single" w:sz="5" w:color="D7D9DE"/>
          <w:left w:val="single" w:sz="5" w:color="D7D9DE"/>
          <w:bottom w:val="single" w:sz="5" w:color="D7D9DE"/>
          <w:right w:val="single" w:sz="5" w:color="D7D9DE"/>
          <w:insideH w:val="single" w:sz="5" w:color="D7D9DE"/>
          <w:insideV w:val="single" w:sz="5" w:color="D7D9DE"/>
        </w:tblBorders>
      </w:tblPr>
      <w:tblGrid>
        <w:gridCol w:w="10166"/>
      </w:tblGrid>
      <w:tr>
        <w:trPr>
          <w:cantSplit/>
        </w:trPr>
        <w:tc>
          <w:tcPr>
            <w:tcW w:type="dxa" w:w="10166"/>
            <w:shd w:fill="FFF8D9"/>
            <w:tcMar>
              <w:top w:w="120" w:type="dxa"/>
              <w:start w:w="140" w:type="dxa"/>
              <w:bottom w:w="120" w:type="dxa"/>
              <w:end w:w="140" w:type="dxa"/>
            </w:tcMar>
          </w:tcPr>
          <w:p>
            <w:r>
              <w:rPr>
                <w:rFonts w:ascii="Aptos" w:hAnsi="Aptos"/>
                <w:b/>
                <w:color w:val="3E2B8F"/>
                <w:sz w:val="22"/>
              </w:rPr>
              <w:t>Manuden’s approach</w:t>
              <w:br/>
            </w:r>
            <w:r>
              <w:rPr>
                <w:rFonts w:ascii="Aptos" w:hAnsi="Aptos"/>
                <w:color w:val="25324A"/>
                <w:sz w:val="21"/>
              </w:rPr>
              <w:t>Equality is not treated as a stand-alone initiative. It is reflected in safeguarding, behaviour, SEND, attendance, curriculum, relationships education, recruitment, accessibility, staff development and the everyday decisions made by leaders, governors and staff.</w:t>
            </w:r>
          </w:p>
        </w:tc>
      </w:tr>
    </w:tbl>
    <w:p>
      <w:pPr>
        <w:spacing w:after="0"/>
      </w:pPr>
    </w:p>
    <w:p>
      <w:pPr>
        <w:pStyle w:val="Heading1"/>
      </w:pPr>
      <w:r>
        <w:t>2. Protected Characteristics</w:t>
      </w:r>
    </w:p>
    <w:p>
      <w:pPr/>
      <w:r>
        <w:rPr>
          <w:rFonts w:ascii="Aptos" w:hAnsi="Aptos"/>
          <w:color w:val="25324A"/>
          <w:sz w:val="22"/>
        </w:rPr>
        <w:t>The Equality Act 2010 contains nine protected characteristics overall. In relation to pupils under the schools provisions of the Act, the relevant protected characteristics are:</w:t>
      </w:r>
    </w:p>
    <w:p>
      <w:pPr>
        <w:pStyle w:val="ListBullet"/>
      </w:pPr>
      <w:r>
        <w:rPr>
          <w:rFonts w:ascii="Aptos" w:hAnsi="Aptos"/>
          <w:color w:val="25324A"/>
          <w:sz w:val="22"/>
        </w:rPr>
        <w:t>disability;</w:t>
      </w:r>
    </w:p>
    <w:p>
      <w:pPr>
        <w:pStyle w:val="ListBullet"/>
      </w:pPr>
      <w:r>
        <w:rPr>
          <w:rFonts w:ascii="Aptos" w:hAnsi="Aptos"/>
          <w:color w:val="25324A"/>
          <w:sz w:val="22"/>
        </w:rPr>
        <w:t>gender reassignment;</w:t>
      </w:r>
    </w:p>
    <w:p>
      <w:pPr>
        <w:pStyle w:val="ListBullet"/>
      </w:pPr>
      <w:r>
        <w:rPr>
          <w:rFonts w:ascii="Aptos" w:hAnsi="Aptos"/>
          <w:color w:val="25324A"/>
          <w:sz w:val="22"/>
        </w:rPr>
        <w:t>pregnancy and maternity;</w:t>
      </w:r>
    </w:p>
    <w:p>
      <w:pPr>
        <w:pStyle w:val="ListBullet"/>
      </w:pPr>
      <w:r>
        <w:rPr>
          <w:rFonts w:ascii="Aptos" w:hAnsi="Aptos"/>
          <w:color w:val="25324A"/>
          <w:sz w:val="22"/>
        </w:rPr>
        <w:t>race;</w:t>
      </w:r>
    </w:p>
    <w:p>
      <w:pPr>
        <w:pStyle w:val="ListBullet"/>
      </w:pPr>
      <w:r>
        <w:rPr>
          <w:rFonts w:ascii="Aptos" w:hAnsi="Aptos"/>
          <w:color w:val="25324A"/>
          <w:sz w:val="22"/>
        </w:rPr>
        <w:t>religion or belief;</w:t>
      </w:r>
    </w:p>
    <w:p>
      <w:pPr>
        <w:pStyle w:val="ListBullet"/>
      </w:pPr>
      <w:r>
        <w:rPr>
          <w:rFonts w:ascii="Aptos" w:hAnsi="Aptos"/>
          <w:color w:val="25324A"/>
          <w:sz w:val="22"/>
        </w:rPr>
        <w:t>sex;</w:t>
      </w:r>
    </w:p>
    <w:p>
      <w:pPr>
        <w:pStyle w:val="ListBullet"/>
      </w:pPr>
      <w:r>
        <w:rPr>
          <w:rFonts w:ascii="Aptos" w:hAnsi="Aptos"/>
          <w:color w:val="25324A"/>
          <w:sz w:val="22"/>
        </w:rPr>
        <w:t>sexual orientation.</w:t>
      </w:r>
    </w:p>
    <w:p>
      <w:pPr/>
      <w:r>
        <w:rPr>
          <w:rFonts w:ascii="Aptos" w:hAnsi="Aptos"/>
          <w:color w:val="25324A"/>
          <w:sz w:val="22"/>
        </w:rPr>
        <w:t>Age and marriage/civil partnership do not apply to pupils under the schools provisions of the Equality Act. They may, however, be relevant to the school in its role as an employer or provider of services to adults. The school considers all relevant equality duties when making decisions affecting staff, parents, carers, visitors and the wider community.</w:t>
      </w:r>
    </w:p>
    <w:p>
      <w:pPr/>
      <w:r>
        <w:rPr>
          <w:rFonts w:ascii="Aptos" w:hAnsi="Aptos"/>
          <w:color w:val="25324A"/>
          <w:sz w:val="22"/>
        </w:rPr>
        <w:t>Manuden Primary School will also take account of association and perception, for example where a pupil experiences discrimination because of a protected characteristic of a family member or because others believe the pupil has a protected characteristic.</w:t>
      </w:r>
    </w:p>
    <w:p>
      <w:pPr>
        <w:pStyle w:val="Heading1"/>
      </w:pPr>
      <w:r>
        <w:t>3. Our School Context and Approach to Publishing Information</w:t>
      </w:r>
    </w:p>
    <w:p>
      <w:pPr/>
      <w:r>
        <w:rPr>
          <w:rFonts w:ascii="Aptos" w:hAnsi="Aptos"/>
          <w:color w:val="25324A"/>
          <w:sz w:val="22"/>
        </w:rPr>
        <w:t>Manuden Primary School is a small village primary school. Our size is an important consideration when publishing equality information. Some pupil groups are very small and publishing detailed numbers or outcomes by protected characteristic could identify individual children or families.</w:t>
      </w:r>
    </w:p>
    <w:p>
      <w:pPr/>
      <w:r>
        <w:rPr>
          <w:rFonts w:ascii="Aptos" w:hAnsi="Aptos"/>
          <w:color w:val="25324A"/>
          <w:sz w:val="22"/>
        </w:rPr>
        <w:t>We will therefore publish meaningful narrative information about our equality work and objectives, while avoiding data that could identify individuals. Leaders and governors will review more detailed information internally where it is lawful, necessary and proportionate to do so.</w:t>
      </w:r>
    </w:p>
    <w:p>
      <w:pPr/>
      <w:r>
        <w:rPr>
          <w:rFonts w:ascii="Aptos" w:hAnsi="Aptos"/>
          <w:color w:val="25324A"/>
          <w:sz w:val="22"/>
        </w:rPr>
        <w:t>The PSED does not require the school to collect information it does not reasonably need. We use information already available through attendance, attainment, safeguarding, behaviour, SEND, pupil voice, parent feedback, participation records and professional knowledge to identify potential inequalities and barriers.</w:t>
      </w:r>
    </w:p>
    <w:p>
      <w:pPr/>
      <w:r>
        <w:rPr>
          <w:rFonts w:ascii="Aptos" w:hAnsi="Aptos"/>
          <w:color w:val="25324A"/>
          <w:sz w:val="22"/>
        </w:rPr>
        <w:t>As Manuden employs fewer than 150 staff, it is not required by the specific duties to publish workforce equality data. The school nevertheless applies the Equality Act and PSED to employment decisions and will consider equality implications in recruitment, reasonable adjustments, staff development and employment practice.</w:t>
      </w:r>
    </w:p>
    <w:p>
      <w:pPr>
        <w:pStyle w:val="Heading1"/>
      </w:pPr>
      <w:r>
        <w:t>4. Equality Information: How We Meet the Public Sector Equality Duty</w:t>
      </w:r>
    </w:p>
    <w:p>
      <w:pPr>
        <w:pStyle w:val="Heading2"/>
      </w:pPr>
      <w:r>
        <w:t>4.1 Eliminating discrimination, harassment and victimisation</w:t>
      </w:r>
    </w:p>
    <w:p>
      <w:pPr/>
      <w:r>
        <w:rPr>
          <w:rFonts w:ascii="Aptos" w:hAnsi="Aptos"/>
          <w:color w:val="25324A"/>
          <w:sz w:val="22"/>
        </w:rPr>
        <w:t>We work to prevent and address discrimination through clear expectations, safeguarding systems and prompt action when concerns arise. In particular, the school:</w:t>
      </w:r>
    </w:p>
    <w:p>
      <w:pPr>
        <w:pStyle w:val="ListBullet"/>
      </w:pPr>
      <w:r>
        <w:rPr>
          <w:rFonts w:ascii="Aptos" w:hAnsi="Aptos"/>
          <w:color w:val="25324A"/>
          <w:sz w:val="22"/>
        </w:rPr>
        <w:t>has clear behaviour and anti-bullying expectations based on being Safe, Respectful and Ready;</w:t>
      </w:r>
    </w:p>
    <w:p>
      <w:pPr>
        <w:pStyle w:val="ListBullet"/>
      </w:pPr>
      <w:r>
        <w:rPr>
          <w:rFonts w:ascii="Aptos" w:hAnsi="Aptos"/>
          <w:color w:val="25324A"/>
          <w:sz w:val="22"/>
        </w:rPr>
        <w:t>does not tolerate discriminatory language, harassment, bullying or victimisation;</w:t>
      </w:r>
    </w:p>
    <w:p>
      <w:pPr>
        <w:pStyle w:val="ListBullet"/>
      </w:pPr>
      <w:r>
        <w:rPr>
          <w:rFonts w:ascii="Aptos" w:hAnsi="Aptos"/>
          <w:color w:val="25324A"/>
          <w:sz w:val="22"/>
        </w:rPr>
        <w:t>records and reviews discriminatory incidents and safeguarding concerns through CPOMS where appropriate;</w:t>
      </w:r>
    </w:p>
    <w:p>
      <w:pPr>
        <w:pStyle w:val="ListBullet"/>
      </w:pPr>
      <w:r>
        <w:rPr>
          <w:rFonts w:ascii="Aptos" w:hAnsi="Aptos"/>
          <w:color w:val="25324A"/>
          <w:sz w:val="22"/>
        </w:rPr>
        <w:t>responds to child-on-child abuse, sexual harassment and other safeguarding concerns through the Child Protection and Safeguarding Policy;</w:t>
      </w:r>
    </w:p>
    <w:p>
      <w:pPr>
        <w:pStyle w:val="ListBullet"/>
      </w:pPr>
      <w:r>
        <w:rPr>
          <w:rFonts w:ascii="Aptos" w:hAnsi="Aptos"/>
          <w:color w:val="25324A"/>
          <w:sz w:val="22"/>
        </w:rPr>
        <w:t>provides routes for pupils, parents, carers and staff to raise concerns and complaints;</w:t>
      </w:r>
    </w:p>
    <w:p>
      <w:pPr>
        <w:pStyle w:val="ListBullet"/>
      </w:pPr>
      <w:r>
        <w:rPr>
          <w:rFonts w:ascii="Aptos" w:hAnsi="Aptos"/>
          <w:color w:val="25324A"/>
          <w:sz w:val="22"/>
        </w:rPr>
        <w:t>expects staff, volunteers, contractors and visitors to model respectful conduct;</w:t>
      </w:r>
    </w:p>
    <w:p>
      <w:pPr>
        <w:pStyle w:val="ListBullet"/>
      </w:pPr>
      <w:r>
        <w:rPr>
          <w:rFonts w:ascii="Aptos" w:hAnsi="Aptos"/>
          <w:color w:val="25324A"/>
          <w:sz w:val="22"/>
        </w:rPr>
        <w:t>considers reasonable adjustments where disability may affect access, behaviour, communication or participation.</w:t>
      </w:r>
    </w:p>
    <w:p>
      <w:pPr>
        <w:pStyle w:val="Heading2"/>
      </w:pPr>
      <w:r>
        <w:t>4.2 Advancing equality of opportunity</w:t>
      </w:r>
    </w:p>
    <w:p>
      <w:pPr/>
      <w:r>
        <w:rPr>
          <w:rFonts w:ascii="Aptos" w:hAnsi="Aptos"/>
          <w:color w:val="25324A"/>
          <w:sz w:val="22"/>
        </w:rPr>
        <w:t>We seek to identify and remove barriers that may prevent pupils from participating, learning or thriving. This includes:</w:t>
      </w:r>
    </w:p>
    <w:p>
      <w:pPr>
        <w:pStyle w:val="ListBullet"/>
      </w:pPr>
      <w:r>
        <w:rPr>
          <w:rFonts w:ascii="Aptos" w:hAnsi="Aptos"/>
          <w:color w:val="25324A"/>
          <w:sz w:val="22"/>
        </w:rPr>
        <w:t>high-quality adaptive teaching and the graduated approach to SEND;</w:t>
      </w:r>
    </w:p>
    <w:p>
      <w:pPr>
        <w:pStyle w:val="ListBullet"/>
      </w:pPr>
      <w:r>
        <w:rPr>
          <w:rFonts w:ascii="Aptos" w:hAnsi="Aptos"/>
          <w:color w:val="25324A"/>
          <w:sz w:val="22"/>
        </w:rPr>
        <w:t>reasonable adjustments for disabled pupils and, where relevant, disabled parents/carers and staff;</w:t>
      </w:r>
    </w:p>
    <w:p>
      <w:pPr>
        <w:pStyle w:val="ListBullet"/>
      </w:pPr>
      <w:r>
        <w:rPr>
          <w:rFonts w:ascii="Aptos" w:hAnsi="Aptos"/>
          <w:color w:val="25324A"/>
          <w:sz w:val="22"/>
        </w:rPr>
        <w:t>early identification of barriers to learning, attendance, communication and participation;</w:t>
      </w:r>
    </w:p>
    <w:p>
      <w:pPr>
        <w:pStyle w:val="ListBullet"/>
      </w:pPr>
      <w:r>
        <w:rPr>
          <w:rFonts w:ascii="Aptos" w:hAnsi="Aptos"/>
          <w:color w:val="25324A"/>
          <w:sz w:val="22"/>
        </w:rPr>
        <w:t>targeted support where evidence shows that an individual or group is at risk of poorer outcomes;</w:t>
      </w:r>
    </w:p>
    <w:p>
      <w:pPr>
        <w:pStyle w:val="ListBullet"/>
      </w:pPr>
      <w:r>
        <w:rPr>
          <w:rFonts w:ascii="Aptos" w:hAnsi="Aptos"/>
          <w:color w:val="25324A"/>
          <w:sz w:val="22"/>
        </w:rPr>
        <w:t>monitoring access to trips, clubs, pupil leadership, enrichment and wider opportunities;</w:t>
      </w:r>
    </w:p>
    <w:p>
      <w:pPr>
        <w:pStyle w:val="ListBullet"/>
      </w:pPr>
      <w:r>
        <w:rPr>
          <w:rFonts w:ascii="Aptos" w:hAnsi="Aptos"/>
          <w:color w:val="25324A"/>
          <w:sz w:val="22"/>
        </w:rPr>
        <w:t>support-first attendance practice that considers disability, SEND, health and other individual circumstances;</w:t>
      </w:r>
    </w:p>
    <w:p>
      <w:pPr>
        <w:pStyle w:val="ListBullet"/>
      </w:pPr>
      <w:r>
        <w:rPr>
          <w:rFonts w:ascii="Aptos" w:hAnsi="Aptos"/>
          <w:color w:val="25324A"/>
          <w:sz w:val="22"/>
        </w:rPr>
        <w:t>accessible communication and alternative arrangements where these are reasonably required.</w:t>
      </w:r>
    </w:p>
    <w:p>
      <w:pPr>
        <w:pStyle w:val="Heading2"/>
      </w:pPr>
      <w:r>
        <w:t>4.3 Fostering good relations</w:t>
      </w:r>
    </w:p>
    <w:p>
      <w:pPr/>
      <w:r>
        <w:rPr>
          <w:rFonts w:ascii="Aptos" w:hAnsi="Aptos"/>
          <w:color w:val="25324A"/>
          <w:sz w:val="22"/>
        </w:rPr>
        <w:t>We want pupils to understand and respect difference, recognise prejudice and contribute positively to their community. We foster good relations through:</w:t>
      </w:r>
    </w:p>
    <w:p>
      <w:pPr>
        <w:pStyle w:val="ListBullet"/>
      </w:pPr>
      <w:r>
        <w:rPr>
          <w:rFonts w:ascii="Aptos" w:hAnsi="Aptos"/>
          <w:color w:val="25324A"/>
          <w:sz w:val="22"/>
        </w:rPr>
        <w:t>Relationships Education, PSHE, Religious Education, assemblies and wider curriculum opportunities;</w:t>
      </w:r>
    </w:p>
    <w:p>
      <w:pPr>
        <w:pStyle w:val="ListBullet"/>
      </w:pPr>
      <w:r>
        <w:rPr>
          <w:rFonts w:ascii="Aptos" w:hAnsi="Aptos"/>
          <w:color w:val="25324A"/>
          <w:sz w:val="22"/>
        </w:rPr>
        <w:t>the No Outsiders approach and age-appropriate teaching about diversity, equality and protected characteristics;</w:t>
      </w:r>
    </w:p>
    <w:p>
      <w:pPr>
        <w:pStyle w:val="ListBullet"/>
      </w:pPr>
      <w:r>
        <w:rPr>
          <w:rFonts w:ascii="Aptos" w:hAnsi="Aptos"/>
          <w:color w:val="25324A"/>
          <w:sz w:val="22"/>
        </w:rPr>
        <w:t>British Values and opportunities to learn about different faiths, cultures, families and communities;</w:t>
      </w:r>
    </w:p>
    <w:p>
      <w:pPr>
        <w:pStyle w:val="ListBullet"/>
      </w:pPr>
      <w:r>
        <w:rPr>
          <w:rFonts w:ascii="Aptos" w:hAnsi="Aptos"/>
          <w:color w:val="25324A"/>
          <w:sz w:val="22"/>
        </w:rPr>
        <w:t>inclusive texts, resources, examples and role models across the curriculum;</w:t>
      </w:r>
    </w:p>
    <w:p>
      <w:pPr>
        <w:pStyle w:val="ListBullet"/>
      </w:pPr>
      <w:r>
        <w:rPr>
          <w:rFonts w:ascii="Aptos" w:hAnsi="Aptos"/>
          <w:color w:val="25324A"/>
          <w:sz w:val="22"/>
        </w:rPr>
        <w:t>pupil voice and leadership opportunities;</w:t>
      </w:r>
    </w:p>
    <w:p>
      <w:pPr>
        <w:pStyle w:val="ListBullet"/>
      </w:pPr>
      <w:r>
        <w:rPr>
          <w:rFonts w:ascii="Aptos" w:hAnsi="Aptos"/>
          <w:color w:val="25324A"/>
          <w:sz w:val="22"/>
        </w:rPr>
        <w:t>prompt challenge of stereotypes, prejudice and discriminatory language;</w:t>
      </w:r>
    </w:p>
    <w:p>
      <w:pPr>
        <w:pStyle w:val="ListBullet"/>
      </w:pPr>
      <w:r>
        <w:rPr>
          <w:rFonts w:ascii="Aptos" w:hAnsi="Aptos"/>
          <w:color w:val="25324A"/>
          <w:sz w:val="22"/>
        </w:rPr>
        <w:t>working constructively with parents, carers and the wider community.</w:t>
      </w:r>
    </w:p>
    <w:p>
      <w:pPr>
        <w:pStyle w:val="Heading1"/>
      </w:pPr>
      <w:r>
        <w:t>5. Equality in Key Areas of School Life</w:t>
      </w:r>
    </w:p>
    <w:p>
      <w:pPr>
        <w:pStyle w:val="Heading2"/>
      </w:pPr>
      <w:r>
        <w:t>Curriculum and teaching</w:t>
      </w:r>
    </w:p>
    <w:p>
      <w:pPr/>
      <w:r>
        <w:rPr>
          <w:rFonts w:ascii="Aptos" w:hAnsi="Aptos"/>
          <w:color w:val="25324A"/>
          <w:sz w:val="22"/>
        </w:rPr>
        <w:t>Teachers maintain high expectations for all pupils while adapting teaching so that pupils can access the curriculum. Curriculum planning should avoid stereotypes and provide meaningful opportunities for pupils to encounter a range of people, cultures, beliefs, families and experiences.</w:t>
      </w:r>
    </w:p>
    <w:p>
      <w:pPr>
        <w:pStyle w:val="Heading2"/>
      </w:pPr>
      <w:r>
        <w:t>SEND, disability and accessibility</w:t>
      </w:r>
    </w:p>
    <w:p>
      <w:pPr/>
      <w:r>
        <w:rPr>
          <w:rFonts w:ascii="Aptos" w:hAnsi="Aptos"/>
          <w:color w:val="25324A"/>
          <w:sz w:val="22"/>
        </w:rPr>
        <w:t>The school makes reasonable adjustments for disabled pupils and works through the SEND graduated approach where pupils have special educational needs. The SEND Policy, SEN Information Report and Accessibility Plan provide further detail. SEND and disability are not interchangeable: not every pupil with SEND is disabled under the Equality Act, and some disabled pupils may not have SEN.</w:t>
      </w:r>
    </w:p>
    <w:p>
      <w:pPr>
        <w:pStyle w:val="Heading2"/>
      </w:pPr>
      <w:r>
        <w:t>Behaviour, bullying and safeguarding</w:t>
      </w:r>
    </w:p>
    <w:p>
      <w:pPr/>
      <w:r>
        <w:rPr>
          <w:rFonts w:ascii="Aptos" w:hAnsi="Aptos"/>
          <w:color w:val="25324A"/>
          <w:sz w:val="22"/>
        </w:rPr>
        <w:t>Behaviour expectations apply to all pupils, but responses take account of age, disability, SEND, safeguarding, communication needs and other relevant circumstances. Reasonable adjustments do not mean lowering expectations of safety or respect; they mean ensuring that systems are fair and accessible. Discriminatory incidents are taken seriously and safeguarding procedures take priority where required.</w:t>
      </w:r>
    </w:p>
    <w:p>
      <w:pPr>
        <w:pStyle w:val="Heading2"/>
      </w:pPr>
      <w:r>
        <w:t>Attendance</w:t>
      </w:r>
    </w:p>
    <w:p>
      <w:pPr/>
      <w:r>
        <w:rPr>
          <w:rFonts w:ascii="Aptos" w:hAnsi="Aptos"/>
          <w:color w:val="25324A"/>
          <w:sz w:val="22"/>
        </w:rPr>
        <w:t>Attendance is monitored for emerging patterns and barriers. The school works with pupils and families to understand the causes of absence and to provide appropriate support or reasonable adjustments where disability, SEND, health or other relevant circumstances affect attendance.</w:t>
      </w:r>
    </w:p>
    <w:p>
      <w:pPr>
        <w:pStyle w:val="Heading2"/>
      </w:pPr>
      <w:r>
        <w:t>Participation and wider opportunities</w:t>
      </w:r>
    </w:p>
    <w:p>
      <w:pPr/>
      <w:r>
        <w:rPr>
          <w:rFonts w:ascii="Aptos" w:hAnsi="Aptos"/>
          <w:color w:val="25324A"/>
          <w:sz w:val="22"/>
        </w:rPr>
        <w:t>The school seeks to ensure equitable access to educational visits, clubs, performances, pupil leadership and enrichment. Where practical barriers arise, leaders consider reasonable and proportionate steps to enable participation.</w:t>
      </w:r>
    </w:p>
    <w:p>
      <w:pPr>
        <w:pStyle w:val="Heading2"/>
      </w:pPr>
      <w:r>
        <w:t>Recruitment and employment</w:t>
      </w:r>
    </w:p>
    <w:p>
      <w:pPr/>
      <w:r>
        <w:rPr>
          <w:rFonts w:ascii="Aptos" w:hAnsi="Aptos"/>
          <w:color w:val="25324A"/>
          <w:sz w:val="22"/>
        </w:rPr>
        <w:t>The school is committed to fair employment practice. Recruitment, development and employment decisions will be based on relevant criteria and made without unlawful discrimination. Reasonable adjustments will be considered for disabled applicants and employees where required.</w:t>
      </w:r>
    </w:p>
    <w:p>
      <w:pPr>
        <w:pStyle w:val="Heading1"/>
      </w:pPr>
      <w:r>
        <w:t>6. Equality Objectives 2026–30</w:t>
      </w:r>
    </w:p>
    <w:p>
      <w:pPr/>
      <w:r>
        <w:rPr>
          <w:rFonts w:ascii="Aptos" w:hAnsi="Aptos"/>
          <w:color w:val="25324A"/>
          <w:sz w:val="22"/>
        </w:rPr>
        <w:t>The following objectives are proportionate to Manuden’s size and current priorities. They will be monitored annually, reported to governors and formally renewed no later than 2030. If evidence shows that a more urgent equality issue has emerged, the school may revise or add an objective before that date.</w:t>
      </w:r>
    </w:p>
    <w:tbl>
      <w:tblPr>
        <w:tblW w:type="auto" w:w="0"/>
        <w:jc w:val="center"/>
        <w:tblLook w:firstColumn="1" w:firstRow="1" w:lastColumn="0" w:lastRow="0" w:noHBand="0" w:noVBand="1" w:val="04A0"/>
        <w:tblBorders>
          <w:top w:val="single" w:sz="5" w:color="C9CBD2"/>
          <w:left w:val="single" w:sz="5" w:color="C9CBD2"/>
          <w:bottom w:val="single" w:sz="5" w:color="C9CBD2"/>
          <w:right w:val="single" w:sz="5" w:color="C9CBD2"/>
          <w:insideH w:val="single" w:sz="5" w:color="C9CBD2"/>
          <w:insideV w:val="single" w:sz="5" w:color="C9CBD2"/>
        </w:tblBorders>
      </w:tblPr>
      <w:tblGrid>
        <w:gridCol w:w="2541"/>
        <w:gridCol w:w="2541"/>
        <w:gridCol w:w="2541"/>
        <w:gridCol w:w="2541"/>
      </w:tblGrid>
      <w:tr>
        <w:trPr>
          <w:tblHeader w:val="true"/>
          <w:cantSplit/>
        </w:trPr>
        <w:tc>
          <w:tcPr>
            <w:tcW w:type="dxa" w:w="2232"/>
            <w:vAlign w:val="top"/>
            <w:tcMar>
              <w:top w:w="90" w:type="dxa"/>
              <w:start w:w="100" w:type="dxa"/>
              <w:bottom w:w="90" w:type="dxa"/>
              <w:end w:w="100" w:type="dxa"/>
            </w:tcMar>
            <w:shd w:fill="3E2B8F"/>
          </w:tcPr>
          <w:p>
            <w:pPr>
              <w:spacing w:after="0"/>
            </w:pPr>
            <w:r/>
            <w:r>
              <w:rPr>
                <w:rFonts w:ascii="Aptos" w:hAnsi="Aptos"/>
                <w:b/>
                <w:color w:val="FFFFFF"/>
                <w:sz w:val="18"/>
              </w:rPr>
              <w:t>Objective</w:t>
            </w:r>
          </w:p>
        </w:tc>
        <w:tc>
          <w:tcPr>
            <w:tcW w:type="dxa" w:w="3240"/>
            <w:vAlign w:val="top"/>
            <w:tcMar>
              <w:top w:w="90" w:type="dxa"/>
              <w:start w:w="100" w:type="dxa"/>
              <w:bottom w:w="90" w:type="dxa"/>
              <w:end w:w="100" w:type="dxa"/>
            </w:tcMar>
            <w:shd w:fill="3E2B8F"/>
          </w:tcPr>
          <w:p>
            <w:pPr>
              <w:spacing w:after="0"/>
            </w:pPr>
            <w:r/>
            <w:r>
              <w:rPr>
                <w:rFonts w:ascii="Aptos" w:hAnsi="Aptos"/>
                <w:b/>
                <w:color w:val="FFFFFF"/>
                <w:sz w:val="18"/>
              </w:rPr>
              <w:t>Key actions</w:t>
            </w:r>
          </w:p>
        </w:tc>
        <w:tc>
          <w:tcPr>
            <w:tcW w:type="dxa" w:w="3672"/>
            <w:vAlign w:val="top"/>
            <w:tcMar>
              <w:top w:w="90" w:type="dxa"/>
              <w:start w:w="100" w:type="dxa"/>
              <w:bottom w:w="90" w:type="dxa"/>
              <w:end w:w="100" w:type="dxa"/>
            </w:tcMar>
            <w:shd w:fill="3E2B8F"/>
          </w:tcPr>
          <w:p>
            <w:pPr>
              <w:spacing w:after="0"/>
            </w:pPr>
            <w:r/>
            <w:r>
              <w:rPr>
                <w:rFonts w:ascii="Aptos" w:hAnsi="Aptos"/>
                <w:b/>
                <w:color w:val="FFFFFF"/>
                <w:sz w:val="18"/>
              </w:rPr>
              <w:t>How progress will be measured</w:t>
            </w:r>
          </w:p>
        </w:tc>
        <w:tc>
          <w:tcPr>
            <w:tcW w:type="dxa" w:w="1800"/>
            <w:vAlign w:val="top"/>
            <w:tcMar>
              <w:top w:w="90" w:type="dxa"/>
              <w:start w:w="100" w:type="dxa"/>
              <w:bottom w:w="90" w:type="dxa"/>
              <w:end w:w="100" w:type="dxa"/>
            </w:tcMar>
            <w:shd w:fill="3E2B8F"/>
          </w:tcPr>
          <w:p>
            <w:pPr>
              <w:spacing w:after="0"/>
            </w:pPr>
            <w:r/>
            <w:r>
              <w:rPr>
                <w:rFonts w:ascii="Aptos" w:hAnsi="Aptos"/>
                <w:b/>
                <w:color w:val="FFFFFF"/>
                <w:sz w:val="18"/>
              </w:rPr>
              <w:t>Lead / review</w:t>
            </w:r>
          </w:p>
        </w:tc>
      </w:tr>
      <w:tr>
        <w:trPr>
          <w:cantSplit/>
        </w:trPr>
        <w:tc>
          <w:tcPr>
            <w:tcW w:type="dxa" w:w="2232"/>
            <w:vAlign w:val="top"/>
            <w:tcMar>
              <w:top w:w="90" w:type="dxa"/>
              <w:start w:w="100" w:type="dxa"/>
              <w:bottom w:w="90" w:type="dxa"/>
              <w:end w:w="100" w:type="dxa"/>
            </w:tcMar>
          </w:tcPr>
          <w:p>
            <w:pPr>
              <w:spacing w:after="0"/>
            </w:pPr>
            <w:r/>
            <w:r>
              <w:rPr>
                <w:rFonts w:ascii="Aptos" w:hAnsi="Aptos"/>
                <w:b w:val="0"/>
                <w:color w:val="25324A"/>
                <w:sz w:val="18"/>
              </w:rPr>
              <w:t>1. Improve inclusive access and participation for disabled pupils and pupils with SEND.</w:t>
            </w:r>
          </w:p>
        </w:tc>
        <w:tc>
          <w:tcPr>
            <w:tcW w:type="dxa" w:w="3240"/>
            <w:vAlign w:val="top"/>
            <w:tcMar>
              <w:top w:w="90" w:type="dxa"/>
              <w:start w:w="100" w:type="dxa"/>
              <w:bottom w:w="90" w:type="dxa"/>
              <w:end w:w="100" w:type="dxa"/>
            </w:tcMar>
          </w:tcPr>
          <w:p>
            <w:pPr>
              <w:spacing w:after="0"/>
            </w:pPr>
            <w:r/>
            <w:r>
              <w:rPr>
                <w:rFonts w:ascii="Aptos" w:hAnsi="Aptos"/>
                <w:b w:val="0"/>
                <w:color w:val="25324A"/>
                <w:sz w:val="18"/>
              </w:rPr>
              <w:t>Review reasonable adjustments and accessibility barriers; monitor participation in curriculum, trips, clubs and leadership; use pupil/parent voice; provide relevant staff development.</w:t>
            </w:r>
          </w:p>
        </w:tc>
        <w:tc>
          <w:tcPr>
            <w:tcW w:type="dxa" w:w="3672"/>
            <w:vAlign w:val="top"/>
            <w:tcMar>
              <w:top w:w="90" w:type="dxa"/>
              <w:start w:w="100" w:type="dxa"/>
              <w:bottom w:w="90" w:type="dxa"/>
              <w:end w:w="100" w:type="dxa"/>
            </w:tcMar>
          </w:tcPr>
          <w:p>
            <w:pPr>
              <w:spacing w:after="0"/>
            </w:pPr>
            <w:r/>
            <w:r>
              <w:rPr>
                <w:rFonts w:ascii="Aptos" w:hAnsi="Aptos"/>
                <w:b w:val="0"/>
                <w:color w:val="25324A"/>
                <w:sz w:val="18"/>
              </w:rPr>
              <w:t>Annual SEND/accessibility review completed; identified barriers have a recorded action; participation is reviewed at least annually; pupil/parent feedback informs provision; no known avoidable access barrier remains unaddressed without a clear plan.</w:t>
            </w:r>
          </w:p>
        </w:tc>
        <w:tc>
          <w:tcPr>
            <w:tcW w:type="dxa" w:w="1800"/>
            <w:vAlign w:val="top"/>
            <w:tcMar>
              <w:top w:w="90" w:type="dxa"/>
              <w:start w:w="100" w:type="dxa"/>
              <w:bottom w:w="90" w:type="dxa"/>
              <w:end w:w="100" w:type="dxa"/>
            </w:tcMar>
          </w:tcPr>
          <w:p>
            <w:pPr>
              <w:spacing w:after="0"/>
            </w:pPr>
            <w:r/>
            <w:r>
              <w:rPr>
                <w:rFonts w:ascii="Aptos" w:hAnsi="Aptos"/>
                <w:b w:val="0"/>
                <w:color w:val="25324A"/>
                <w:sz w:val="18"/>
              </w:rPr>
              <w:t>Headteacher / SENCO</w:t>
              <w:br/>
              <w:t>Annual review</w:t>
            </w:r>
          </w:p>
        </w:tc>
      </w:tr>
      <w:tr>
        <w:trPr>
          <w:cantSplit/>
        </w:trPr>
        <w:tc>
          <w:tcPr>
            <w:tcW w:type="dxa" w:w="2232"/>
            <w:vAlign w:val="top"/>
            <w:tcMar>
              <w:top w:w="90" w:type="dxa"/>
              <w:start w:w="100" w:type="dxa"/>
              <w:bottom w:w="90" w:type="dxa"/>
              <w:end w:w="100" w:type="dxa"/>
            </w:tcMar>
            <w:shd w:fill="F2F3F5"/>
          </w:tcPr>
          <w:p>
            <w:pPr>
              <w:spacing w:after="0"/>
            </w:pPr>
            <w:r/>
            <w:r>
              <w:rPr>
                <w:rFonts w:ascii="Aptos" w:hAnsi="Aptos"/>
                <w:b w:val="0"/>
                <w:color w:val="25324A"/>
                <w:sz w:val="18"/>
              </w:rPr>
              <w:t>2. Strengthen curriculum representation and pupils’ understanding of equality, difference and respectful relationships.</w:t>
            </w:r>
          </w:p>
        </w:tc>
        <w:tc>
          <w:tcPr>
            <w:tcW w:type="dxa" w:w="3240"/>
            <w:vAlign w:val="top"/>
            <w:tcMar>
              <w:top w:w="90" w:type="dxa"/>
              <w:start w:w="100" w:type="dxa"/>
              <w:bottom w:w="90" w:type="dxa"/>
              <w:end w:w="100" w:type="dxa"/>
            </w:tcMar>
            <w:shd w:fill="F2F3F5"/>
          </w:tcPr>
          <w:p>
            <w:pPr>
              <w:spacing w:after="0"/>
            </w:pPr>
            <w:r/>
            <w:r>
              <w:rPr>
                <w:rFonts w:ascii="Aptos" w:hAnsi="Aptos"/>
                <w:b w:val="0"/>
                <w:color w:val="25324A"/>
                <w:sz w:val="18"/>
              </w:rPr>
              <w:t>Audit curriculum/resources annually; maintain age-appropriate No Outsiders, RSHE/PSHE and RE provision; challenge stereotypes and discriminatory language; review discriminatory incidents and pupil voice.</w:t>
            </w:r>
          </w:p>
        </w:tc>
        <w:tc>
          <w:tcPr>
            <w:tcW w:type="dxa" w:w="3672"/>
            <w:vAlign w:val="top"/>
            <w:tcMar>
              <w:top w:w="90" w:type="dxa"/>
              <w:start w:w="100" w:type="dxa"/>
              <w:bottom w:w="90" w:type="dxa"/>
              <w:end w:w="100" w:type="dxa"/>
            </w:tcMar>
            <w:shd w:fill="F2F3F5"/>
          </w:tcPr>
          <w:p>
            <w:pPr>
              <w:spacing w:after="0"/>
            </w:pPr>
            <w:r/>
            <w:r>
              <w:rPr>
                <w:rFonts w:ascii="Aptos" w:hAnsi="Aptos"/>
                <w:b w:val="0"/>
                <w:color w:val="25324A"/>
                <w:sz w:val="18"/>
              </w:rPr>
              <w:t>Annual curriculum/resource audit completed and gaps actioned; discriminatory incidents are recorded and responded to appropriately; annual pupil voice checks that pupils know how to report concerns and can explain expectations around respect and inclusion.</w:t>
            </w:r>
          </w:p>
        </w:tc>
        <w:tc>
          <w:tcPr>
            <w:tcW w:type="dxa" w:w="1800"/>
            <w:vAlign w:val="top"/>
            <w:tcMar>
              <w:top w:w="90" w:type="dxa"/>
              <w:start w:w="100" w:type="dxa"/>
              <w:bottom w:w="90" w:type="dxa"/>
              <w:end w:w="100" w:type="dxa"/>
            </w:tcMar>
            <w:shd w:fill="F2F3F5"/>
          </w:tcPr>
          <w:p>
            <w:pPr>
              <w:spacing w:after="0"/>
            </w:pPr>
            <w:r/>
            <w:r>
              <w:rPr>
                <w:rFonts w:ascii="Aptos" w:hAnsi="Aptos"/>
                <w:b w:val="0"/>
                <w:color w:val="25324A"/>
                <w:sz w:val="18"/>
              </w:rPr>
              <w:t>Headteacher / Subject leaders</w:t>
              <w:br/>
              <w:t>Annual review</w:t>
            </w:r>
          </w:p>
        </w:tc>
      </w:tr>
      <w:tr>
        <w:trPr>
          <w:cantSplit/>
        </w:trPr>
        <w:tc>
          <w:tcPr>
            <w:tcW w:type="dxa" w:w="2232"/>
            <w:vAlign w:val="top"/>
            <w:tcMar>
              <w:top w:w="90" w:type="dxa"/>
              <w:start w:w="100" w:type="dxa"/>
              <w:bottom w:w="90" w:type="dxa"/>
              <w:end w:w="100" w:type="dxa"/>
            </w:tcMar>
          </w:tcPr>
          <w:p>
            <w:pPr>
              <w:spacing w:after="0"/>
            </w:pPr>
            <w:r/>
            <w:r>
              <w:rPr>
                <w:rFonts w:ascii="Aptos" w:hAnsi="Aptos"/>
                <w:b w:val="0"/>
                <w:color w:val="25324A"/>
                <w:sz w:val="18"/>
              </w:rPr>
              <w:t>3. Use school information to identify and respond to emerging equality gaps in attendance, behaviour, attainment/progress and wider participation.</w:t>
            </w:r>
          </w:p>
        </w:tc>
        <w:tc>
          <w:tcPr>
            <w:tcW w:type="dxa" w:w="3240"/>
            <w:vAlign w:val="top"/>
            <w:tcMar>
              <w:top w:w="90" w:type="dxa"/>
              <w:start w:w="100" w:type="dxa"/>
              <w:bottom w:w="90" w:type="dxa"/>
              <w:end w:w="100" w:type="dxa"/>
            </w:tcMar>
          </w:tcPr>
          <w:p>
            <w:pPr>
              <w:spacing w:after="0"/>
            </w:pPr>
            <w:r/>
            <w:r>
              <w:rPr>
                <w:rFonts w:ascii="Aptos" w:hAnsi="Aptos"/>
                <w:b w:val="0"/>
                <w:color w:val="25324A"/>
                <w:sz w:val="18"/>
              </w:rPr>
              <w:t>Leaders review available information by relevant protected characteristic where numbers are meaningful and publication would not identify pupils; investigate material patterns; agree actions; report themes to governors.</w:t>
            </w:r>
          </w:p>
        </w:tc>
        <w:tc>
          <w:tcPr>
            <w:tcW w:type="dxa" w:w="3672"/>
            <w:vAlign w:val="top"/>
            <w:tcMar>
              <w:top w:w="90" w:type="dxa"/>
              <w:start w:w="100" w:type="dxa"/>
              <w:bottom w:w="90" w:type="dxa"/>
              <w:end w:w="100" w:type="dxa"/>
            </w:tcMar>
          </w:tcPr>
          <w:p>
            <w:pPr>
              <w:spacing w:after="0"/>
            </w:pPr>
            <w:r/>
            <w:r>
              <w:rPr>
                <w:rFonts w:ascii="Aptos" w:hAnsi="Aptos"/>
                <w:b w:val="0"/>
                <w:color w:val="25324A"/>
                <w:sz w:val="18"/>
              </w:rPr>
              <w:t>Termly leadership review completed; any material unexplained disparity has documented analysis and action within one term; governors receive an annual equality summary; published information is updated annually without disclosing identifiable small-group data.</w:t>
            </w:r>
          </w:p>
        </w:tc>
        <w:tc>
          <w:tcPr>
            <w:tcW w:type="dxa" w:w="1800"/>
            <w:vAlign w:val="top"/>
            <w:tcMar>
              <w:top w:w="90" w:type="dxa"/>
              <w:start w:w="100" w:type="dxa"/>
              <w:bottom w:w="90" w:type="dxa"/>
              <w:end w:w="100" w:type="dxa"/>
            </w:tcMar>
          </w:tcPr>
          <w:p>
            <w:pPr>
              <w:spacing w:after="0"/>
            </w:pPr>
            <w:r/>
            <w:r>
              <w:rPr>
                <w:rFonts w:ascii="Aptos" w:hAnsi="Aptos"/>
                <w:b w:val="0"/>
                <w:color w:val="25324A"/>
                <w:sz w:val="18"/>
              </w:rPr>
              <w:t>Headteacher / SLT</w:t>
              <w:br/>
              <w:t>Termly monitoring; annual publication</w:t>
            </w:r>
          </w:p>
        </w:tc>
      </w:tr>
    </w:tbl>
    <w:p>
      <w:pPr>
        <w:pStyle w:val="Heading1"/>
      </w:pPr>
      <w:r>
        <w:t>7. Monitoring, Evidence and Governance</w:t>
      </w:r>
    </w:p>
    <w:p>
      <w:pPr/>
      <w:r>
        <w:rPr>
          <w:rFonts w:ascii="Aptos" w:hAnsi="Aptos"/>
          <w:color w:val="25324A"/>
          <w:sz w:val="22"/>
        </w:rPr>
        <w:t>The Headteacher is responsible for coordinating the school’s day-to-day equality work. The Governing Body provides strategic oversight and will ensure that equality considerations are taken into account when policies and significant decisions are approved.</w:t>
      </w:r>
    </w:p>
    <w:p>
      <w:pPr/>
      <w:r>
        <w:rPr>
          <w:rFonts w:ascii="Aptos" w:hAnsi="Aptos"/>
          <w:color w:val="25324A"/>
          <w:sz w:val="22"/>
        </w:rPr>
        <w:t>Evidence used to review equality may include:</w:t>
      </w:r>
    </w:p>
    <w:p>
      <w:pPr>
        <w:pStyle w:val="ListBullet"/>
      </w:pPr>
      <w:r>
        <w:rPr>
          <w:rFonts w:ascii="Aptos" w:hAnsi="Aptos"/>
          <w:color w:val="25324A"/>
          <w:sz w:val="22"/>
        </w:rPr>
        <w:t>attendance, attainment and progress information;</w:t>
      </w:r>
    </w:p>
    <w:p>
      <w:pPr>
        <w:pStyle w:val="ListBullet"/>
      </w:pPr>
      <w:r>
        <w:rPr>
          <w:rFonts w:ascii="Aptos" w:hAnsi="Aptos"/>
          <w:color w:val="25324A"/>
          <w:sz w:val="22"/>
        </w:rPr>
        <w:t>behaviour, anti-bullying and discriminatory-incident information;</w:t>
      </w:r>
    </w:p>
    <w:p>
      <w:pPr>
        <w:pStyle w:val="ListBullet"/>
      </w:pPr>
      <w:r>
        <w:rPr>
          <w:rFonts w:ascii="Aptos" w:hAnsi="Aptos"/>
          <w:color w:val="25324A"/>
          <w:sz w:val="22"/>
        </w:rPr>
        <w:t>safeguarding trends;</w:t>
      </w:r>
    </w:p>
    <w:p>
      <w:pPr>
        <w:pStyle w:val="ListBullet"/>
      </w:pPr>
      <w:r>
        <w:rPr>
          <w:rFonts w:ascii="Aptos" w:hAnsi="Aptos"/>
          <w:color w:val="25324A"/>
          <w:sz w:val="22"/>
        </w:rPr>
        <w:t>SEND and accessibility reviews;</w:t>
      </w:r>
    </w:p>
    <w:p>
      <w:pPr>
        <w:pStyle w:val="ListBullet"/>
      </w:pPr>
      <w:r>
        <w:rPr>
          <w:rFonts w:ascii="Aptos" w:hAnsi="Aptos"/>
          <w:color w:val="25324A"/>
          <w:sz w:val="22"/>
        </w:rPr>
        <w:t>participation in clubs, visits and wider opportunities;</w:t>
      </w:r>
    </w:p>
    <w:p>
      <w:pPr>
        <w:pStyle w:val="ListBullet"/>
      </w:pPr>
      <w:r>
        <w:rPr>
          <w:rFonts w:ascii="Aptos" w:hAnsi="Aptos"/>
          <w:color w:val="25324A"/>
          <w:sz w:val="22"/>
        </w:rPr>
        <w:t>pupil voice, parent/carer feedback and complaints;</w:t>
      </w:r>
    </w:p>
    <w:p>
      <w:pPr>
        <w:pStyle w:val="ListBullet"/>
      </w:pPr>
      <w:r>
        <w:rPr>
          <w:rFonts w:ascii="Aptos" w:hAnsi="Aptos"/>
          <w:color w:val="25324A"/>
          <w:sz w:val="22"/>
        </w:rPr>
        <w:t>curriculum audits and learning reviews;</w:t>
      </w:r>
    </w:p>
    <w:p>
      <w:pPr>
        <w:pStyle w:val="ListBullet"/>
      </w:pPr>
      <w:r>
        <w:rPr>
          <w:rFonts w:ascii="Aptos" w:hAnsi="Aptos"/>
          <w:color w:val="25324A"/>
          <w:sz w:val="22"/>
        </w:rPr>
        <w:t>staff training and professional discussion;</w:t>
      </w:r>
    </w:p>
    <w:p>
      <w:pPr>
        <w:pStyle w:val="ListBullet"/>
      </w:pPr>
      <w:r>
        <w:rPr>
          <w:rFonts w:ascii="Aptos" w:hAnsi="Aptos"/>
          <w:color w:val="25324A"/>
          <w:sz w:val="22"/>
        </w:rPr>
        <w:t>relevant local or national evidence.</w:t>
      </w:r>
    </w:p>
    <w:p>
      <w:pPr/>
      <w:r>
        <w:rPr>
          <w:rFonts w:ascii="Aptos" w:hAnsi="Aptos"/>
          <w:color w:val="25324A"/>
          <w:sz w:val="22"/>
        </w:rPr>
        <w:t>Where evidence is limited because groups are very small, the school will use qualitative evidence and professional knowledge alongside available data. Lack of statistically meaningful data will not prevent leaders from responding to a known barrier or concern.</w:t>
      </w:r>
    </w:p>
    <w:p>
      <w:pPr/>
      <w:r>
        <w:rPr>
          <w:rFonts w:ascii="Aptos" w:hAnsi="Aptos"/>
          <w:color w:val="25324A"/>
          <w:sz w:val="22"/>
        </w:rPr>
        <w:t>When governors approve or materially revise significant policies, leaders should consider whether the decision may have particular implications for people with protected characteristics and record relevant equality considerations where appropriate.</w:t>
      </w:r>
    </w:p>
    <w:p>
      <w:pPr>
        <w:pStyle w:val="Heading1"/>
      </w:pPr>
      <w:r>
        <w:t>8. Publication, Privacy and Review</w:t>
      </w:r>
    </w:p>
    <w:p>
      <w:pPr/>
      <w:r>
        <w:rPr>
          <w:rFonts w:ascii="Aptos" w:hAnsi="Aptos"/>
          <w:color w:val="25324A"/>
          <w:sz w:val="22"/>
        </w:rPr>
        <w:t>This document will be published on the school website. Equality information will be reviewed and updated at least annually. The equality objectives will be reviewed for progress each year and formally renewed at least every four years.</w:t>
      </w:r>
    </w:p>
    <w:p>
      <w:pPr/>
      <w:r>
        <w:rPr>
          <w:rFonts w:ascii="Aptos" w:hAnsi="Aptos"/>
          <w:color w:val="25324A"/>
          <w:sz w:val="22"/>
        </w:rPr>
        <w:t>Because Manuden is a small school, we will not publish equality data where doing so could identify an individual pupil, family member or member of staff. Information will be aggregated, described narratively or withheld from public reporting where necessary to protect confidentiality and comply with data-protection law.</w:t>
      </w:r>
    </w:p>
    <w:p>
      <w:pPr/>
      <w:r>
        <w:rPr>
          <w:rFonts w:ascii="Aptos" w:hAnsi="Aptos"/>
          <w:color w:val="25324A"/>
          <w:sz w:val="22"/>
        </w:rPr>
        <w:t>Parents, carers and members of the community may request a paper copy of this information from the school office. Reasonable steps will be taken to provide information in an accessible format where required.</w:t>
      </w:r>
    </w:p>
    <w:p>
      <w:pPr>
        <w:pStyle w:val="Heading1"/>
      </w:pPr>
      <w:r>
        <w:t>9. Key Legislation and Guidance</w:t>
      </w:r>
    </w:p>
    <w:p>
      <w:pPr>
        <w:pStyle w:val="ListBullet"/>
      </w:pPr>
      <w:r>
        <w:rPr>
          <w:rFonts w:ascii="Aptos" w:hAnsi="Aptos"/>
          <w:color w:val="25324A"/>
          <w:sz w:val="22"/>
        </w:rPr>
        <w:t>Equality Act 2010, including section 149 (Public Sector Equality Duty);</w:t>
      </w:r>
    </w:p>
    <w:p>
      <w:pPr>
        <w:pStyle w:val="ListBullet"/>
      </w:pPr>
      <w:r>
        <w:rPr>
          <w:rFonts w:ascii="Aptos" w:hAnsi="Aptos"/>
          <w:color w:val="25324A"/>
          <w:sz w:val="22"/>
        </w:rPr>
        <w:t>Equality Act 2010 (Specific Duties and Public Authorities) Regulations 2017;</w:t>
      </w:r>
    </w:p>
    <w:p>
      <w:pPr>
        <w:pStyle w:val="ListBullet"/>
      </w:pPr>
      <w:r>
        <w:rPr>
          <w:rFonts w:ascii="Aptos" w:hAnsi="Aptos"/>
          <w:color w:val="25324A"/>
          <w:sz w:val="22"/>
        </w:rPr>
        <w:t>Department for Education: What maintained schools must or should publish online;</w:t>
      </w:r>
    </w:p>
    <w:p>
      <w:pPr>
        <w:pStyle w:val="ListBullet"/>
      </w:pPr>
      <w:r>
        <w:rPr>
          <w:rFonts w:ascii="Aptos" w:hAnsi="Aptos"/>
          <w:color w:val="25324A"/>
          <w:sz w:val="22"/>
        </w:rPr>
        <w:t>Department for Education: Equality Act 2010 – advice for schools;</w:t>
      </w:r>
    </w:p>
    <w:p>
      <w:pPr>
        <w:pStyle w:val="ListBullet"/>
      </w:pPr>
      <w:r>
        <w:rPr>
          <w:rFonts w:ascii="Aptos" w:hAnsi="Aptos"/>
          <w:color w:val="25324A"/>
          <w:sz w:val="22"/>
        </w:rPr>
        <w:t>Equality and Human Rights Commission: Public Sector Equality Duty guidance for schools;</w:t>
      </w:r>
    </w:p>
    <w:p>
      <w:pPr>
        <w:pStyle w:val="ListBullet"/>
      </w:pPr>
      <w:r>
        <w:rPr>
          <w:rFonts w:ascii="Aptos" w:hAnsi="Aptos"/>
          <w:color w:val="25324A"/>
          <w:sz w:val="22"/>
        </w:rPr>
        <w:t>Equality and Human Rights Commission: Technical guidance for schools in England.</w:t>
      </w:r>
    </w:p>
    <w:p>
      <w:r>
        <w:br w:type="page"/>
      </w:r>
    </w:p>
    <w:p>
      <w:pPr>
        <w:pStyle w:val="Heading1"/>
      </w:pPr>
      <w:r>
        <w:t>Appendix 1 – Annual Equality Review Checklist</w:t>
      </w:r>
    </w:p>
    <w:p>
      <w:pPr/>
      <w:r>
        <w:rPr>
          <w:rFonts w:ascii="Aptos" w:hAnsi="Aptos"/>
          <w:color w:val="25324A"/>
          <w:sz w:val="22"/>
        </w:rPr>
        <w:t>This checklist is intended to support the annual update of Manuden’s equality information and to provide governors with a concise assurance record.</w:t>
      </w:r>
    </w:p>
    <w:tbl>
      <w:tblPr>
        <w:tblW w:type="auto" w:w="0"/>
        <w:jc w:val="center"/>
        <w:tblLook w:firstColumn="1" w:firstRow="1" w:lastColumn="0" w:lastRow="0" w:noHBand="0" w:noVBand="1" w:val="04A0"/>
        <w:tblBorders>
          <w:top w:val="single" w:sz="5" w:color="C9CBD2"/>
          <w:left w:val="single" w:sz="5" w:color="C9CBD2"/>
          <w:bottom w:val="single" w:sz="5" w:color="C9CBD2"/>
          <w:right w:val="single" w:sz="5" w:color="C9CBD2"/>
          <w:insideH w:val="single" w:sz="5" w:color="C9CBD2"/>
          <w:insideV w:val="single" w:sz="5" w:color="C9CBD2"/>
        </w:tblBorders>
      </w:tblPr>
      <w:tblGrid>
        <w:gridCol w:w="3389"/>
        <w:gridCol w:w="3389"/>
        <w:gridCol w:w="3389"/>
      </w:tblGrid>
      <w:tr>
        <w:trPr>
          <w:tblHeader w:val="true"/>
          <w:cantSplit/>
        </w:trPr>
        <w:tc>
          <w:tcPr>
            <w:tcW w:type="dxa" w:w="1944"/>
            <w:vAlign w:val="top"/>
            <w:tcMar>
              <w:top w:w="90" w:type="dxa"/>
              <w:start w:w="100" w:type="dxa"/>
              <w:bottom w:w="90" w:type="dxa"/>
              <w:end w:w="100" w:type="dxa"/>
            </w:tcMar>
            <w:shd w:fill="3E2B8F"/>
          </w:tcPr>
          <w:p>
            <w:pPr>
              <w:spacing w:after="0"/>
            </w:pPr>
            <w:r/>
            <w:r>
              <w:rPr>
                <w:rFonts w:ascii="Aptos" w:hAnsi="Aptos"/>
                <w:b/>
                <w:color w:val="FFFFFF"/>
                <w:sz w:val="18"/>
              </w:rPr>
              <w:t>Check</w:t>
            </w:r>
          </w:p>
        </w:tc>
        <w:tc>
          <w:tcPr>
            <w:tcW w:type="dxa" w:w="6408"/>
            <w:vAlign w:val="top"/>
            <w:tcMar>
              <w:top w:w="90" w:type="dxa"/>
              <w:start w:w="100" w:type="dxa"/>
              <w:bottom w:w="90" w:type="dxa"/>
              <w:end w:w="100" w:type="dxa"/>
            </w:tcMar>
            <w:shd w:fill="3E2B8F"/>
          </w:tcPr>
          <w:p>
            <w:pPr>
              <w:spacing w:after="0"/>
            </w:pPr>
            <w:r/>
            <w:r>
              <w:rPr>
                <w:rFonts w:ascii="Aptos" w:hAnsi="Aptos"/>
                <w:b/>
                <w:color w:val="FFFFFF"/>
                <w:sz w:val="18"/>
              </w:rPr>
              <w:t>Evidence / question</w:t>
            </w:r>
          </w:p>
        </w:tc>
        <w:tc>
          <w:tcPr>
            <w:tcW w:type="dxa" w:w="2880"/>
            <w:vAlign w:val="top"/>
            <w:tcMar>
              <w:top w:w="90" w:type="dxa"/>
              <w:start w:w="100" w:type="dxa"/>
              <w:bottom w:w="90" w:type="dxa"/>
              <w:end w:w="100" w:type="dxa"/>
            </w:tcMar>
            <w:shd w:fill="3E2B8F"/>
          </w:tcPr>
          <w:p>
            <w:pPr>
              <w:spacing w:after="0"/>
            </w:pPr>
            <w:r/>
            <w:r>
              <w:rPr>
                <w:rFonts w:ascii="Aptos" w:hAnsi="Aptos"/>
                <w:b/>
                <w:color w:val="FFFFFF"/>
                <w:sz w:val="18"/>
              </w:rPr>
              <w:t>Action / assurance</w:t>
            </w:r>
          </w:p>
        </w:tc>
      </w:tr>
      <w:tr>
        <w:trPr>
          <w:cantSplit/>
        </w:trPr>
        <w:tc>
          <w:tcPr>
            <w:tcW w:type="dxa" w:w="1944"/>
            <w:vAlign w:val="top"/>
            <w:tcMar>
              <w:top w:w="45" w:type="dxa"/>
              <w:start w:w="70" w:type="dxa"/>
              <w:bottom w:w="45" w:type="dxa"/>
              <w:end w:w="70" w:type="dxa"/>
            </w:tcMar>
          </w:tcPr>
          <w:p>
            <w:pPr>
              <w:spacing w:after="0" w:line="228" w:lineRule="auto"/>
            </w:pPr>
            <w:r/>
            <w:r>
              <w:rPr>
                <w:rFonts w:ascii="Aptos" w:hAnsi="Aptos"/>
                <w:b/>
                <w:color w:val="25324A"/>
                <w:sz w:val="16"/>
              </w:rPr>
              <w:t>PSED information</w:t>
            </w:r>
          </w:p>
        </w:tc>
        <w:tc>
          <w:tcPr>
            <w:tcW w:type="dxa" w:w="6408"/>
            <w:vAlign w:val="top"/>
            <w:tcMar>
              <w:top w:w="45" w:type="dxa"/>
              <w:start w:w="70" w:type="dxa"/>
              <w:bottom w:w="45" w:type="dxa"/>
              <w:end w:w="70" w:type="dxa"/>
            </w:tcMar>
          </w:tcPr>
          <w:p>
            <w:pPr>
              <w:spacing w:after="0" w:line="228" w:lineRule="auto"/>
            </w:pPr>
            <w:r/>
            <w:r>
              <w:rPr>
                <w:rFonts w:ascii="Aptos" w:hAnsi="Aptos"/>
                <w:b w:val="0"/>
                <w:color w:val="25324A"/>
                <w:sz w:val="16"/>
              </w:rPr>
              <w:t>Has the published equality information been reviewed within the last 12 months?</w:t>
            </w:r>
          </w:p>
        </w:tc>
        <w:tc>
          <w:tcPr>
            <w:tcW w:type="dxa" w:w="2880"/>
            <w:vAlign w:val="top"/>
            <w:tcMar>
              <w:top w:w="45" w:type="dxa"/>
              <w:start w:w="70" w:type="dxa"/>
              <w:bottom w:w="45" w:type="dxa"/>
              <w:end w:w="70" w:type="dxa"/>
            </w:tcMar>
          </w:tcPr>
          <w:p>
            <w:pPr>
              <w:spacing w:after="0" w:line="228" w:lineRule="auto"/>
            </w:pPr>
            <w:r/>
            <w:r>
              <w:rPr>
                <w:rFonts w:ascii="Aptos" w:hAnsi="Aptos"/>
                <w:b w:val="0"/>
                <w:color w:val="25324A"/>
                <w:sz w:val="16"/>
              </w:rPr>
            </w:r>
          </w:p>
        </w:tc>
      </w:tr>
      <w:tr>
        <w:trPr>
          <w:cantSplit/>
        </w:trPr>
        <w:tc>
          <w:tcPr>
            <w:tcW w:type="dxa" w:w="1944"/>
            <w:vAlign w:val="top"/>
            <w:tcMar>
              <w:top w:w="45" w:type="dxa"/>
              <w:start w:w="70" w:type="dxa"/>
              <w:bottom w:w="45" w:type="dxa"/>
              <w:end w:w="70" w:type="dxa"/>
            </w:tcMar>
            <w:shd w:fill="F2F3F5"/>
          </w:tcPr>
          <w:p>
            <w:pPr>
              <w:spacing w:after="0" w:line="228" w:lineRule="auto"/>
            </w:pPr>
            <w:r/>
            <w:r>
              <w:rPr>
                <w:rFonts w:ascii="Aptos" w:hAnsi="Aptos"/>
                <w:b/>
                <w:color w:val="25324A"/>
                <w:sz w:val="16"/>
              </w:rPr>
              <w:t>Objectives</w:t>
            </w:r>
          </w:p>
        </w:tc>
        <w:tc>
          <w:tcPr>
            <w:tcW w:type="dxa" w:w="6408"/>
            <w:vAlign w:val="top"/>
            <w:tcMar>
              <w:top w:w="45" w:type="dxa"/>
              <w:start w:w="70" w:type="dxa"/>
              <w:bottom w:w="45" w:type="dxa"/>
              <w:end w:w="70" w:type="dxa"/>
            </w:tcMar>
            <w:shd w:fill="F2F3F5"/>
          </w:tcPr>
          <w:p>
            <w:pPr>
              <w:spacing w:after="0" w:line="228" w:lineRule="auto"/>
            </w:pPr>
            <w:r/>
            <w:r>
              <w:rPr>
                <w:rFonts w:ascii="Aptos" w:hAnsi="Aptos"/>
                <w:b w:val="0"/>
                <w:color w:val="25324A"/>
                <w:sz w:val="16"/>
              </w:rPr>
              <w:t>What progress has been made against each 2026–30 objective? Is any objective no longer the right priority?</w:t>
            </w:r>
          </w:p>
        </w:tc>
        <w:tc>
          <w:tcPr>
            <w:tcW w:type="dxa" w:w="2880"/>
            <w:vAlign w:val="top"/>
            <w:tcMar>
              <w:top w:w="45" w:type="dxa"/>
              <w:start w:w="70" w:type="dxa"/>
              <w:bottom w:w="45" w:type="dxa"/>
              <w:end w:w="70" w:type="dxa"/>
            </w:tcMar>
            <w:shd w:fill="F2F3F5"/>
          </w:tcPr>
          <w:p>
            <w:pPr>
              <w:spacing w:after="0" w:line="228" w:lineRule="auto"/>
            </w:pPr>
            <w:r/>
            <w:r>
              <w:rPr>
                <w:rFonts w:ascii="Aptos" w:hAnsi="Aptos"/>
                <w:b w:val="0"/>
                <w:color w:val="25324A"/>
                <w:sz w:val="16"/>
              </w:rPr>
            </w:r>
          </w:p>
        </w:tc>
      </w:tr>
      <w:tr>
        <w:trPr>
          <w:cantSplit/>
        </w:trPr>
        <w:tc>
          <w:tcPr>
            <w:tcW w:type="dxa" w:w="1944"/>
            <w:vAlign w:val="top"/>
            <w:tcMar>
              <w:top w:w="45" w:type="dxa"/>
              <w:start w:w="70" w:type="dxa"/>
              <w:bottom w:w="45" w:type="dxa"/>
              <w:end w:w="70" w:type="dxa"/>
            </w:tcMar>
          </w:tcPr>
          <w:p>
            <w:pPr>
              <w:spacing w:after="0" w:line="228" w:lineRule="auto"/>
            </w:pPr>
            <w:r/>
            <w:r>
              <w:rPr>
                <w:rFonts w:ascii="Aptos" w:hAnsi="Aptos"/>
                <w:b/>
                <w:color w:val="25324A"/>
                <w:sz w:val="16"/>
              </w:rPr>
              <w:t>Discriminatory incidents</w:t>
            </w:r>
          </w:p>
        </w:tc>
        <w:tc>
          <w:tcPr>
            <w:tcW w:type="dxa" w:w="6408"/>
            <w:vAlign w:val="top"/>
            <w:tcMar>
              <w:top w:w="45" w:type="dxa"/>
              <w:start w:w="70" w:type="dxa"/>
              <w:bottom w:w="45" w:type="dxa"/>
              <w:end w:w="70" w:type="dxa"/>
            </w:tcMar>
          </w:tcPr>
          <w:p>
            <w:pPr>
              <w:spacing w:after="0" w:line="228" w:lineRule="auto"/>
            </w:pPr>
            <w:r/>
            <w:r>
              <w:rPr>
                <w:rFonts w:ascii="Aptos" w:hAnsi="Aptos"/>
                <w:b w:val="0"/>
                <w:color w:val="25324A"/>
                <w:sz w:val="16"/>
              </w:rPr>
              <w:t>Have discriminatory, prejudice-related or harassment incidents been reviewed for patterns and appropriate action?</w:t>
            </w:r>
          </w:p>
        </w:tc>
        <w:tc>
          <w:tcPr>
            <w:tcW w:type="dxa" w:w="2880"/>
            <w:vAlign w:val="top"/>
            <w:tcMar>
              <w:top w:w="45" w:type="dxa"/>
              <w:start w:w="70" w:type="dxa"/>
              <w:bottom w:w="45" w:type="dxa"/>
              <w:end w:w="70" w:type="dxa"/>
            </w:tcMar>
          </w:tcPr>
          <w:p>
            <w:pPr>
              <w:spacing w:after="0" w:line="228" w:lineRule="auto"/>
            </w:pPr>
            <w:r/>
            <w:r>
              <w:rPr>
                <w:rFonts w:ascii="Aptos" w:hAnsi="Aptos"/>
                <w:b w:val="0"/>
                <w:color w:val="25324A"/>
                <w:sz w:val="16"/>
              </w:rPr>
            </w:r>
          </w:p>
        </w:tc>
      </w:tr>
      <w:tr>
        <w:trPr>
          <w:cantSplit/>
        </w:trPr>
        <w:tc>
          <w:tcPr>
            <w:tcW w:type="dxa" w:w="1944"/>
            <w:vAlign w:val="top"/>
            <w:tcMar>
              <w:top w:w="45" w:type="dxa"/>
              <w:start w:w="70" w:type="dxa"/>
              <w:bottom w:w="45" w:type="dxa"/>
              <w:end w:w="70" w:type="dxa"/>
            </w:tcMar>
            <w:shd w:fill="F2F3F5"/>
          </w:tcPr>
          <w:p>
            <w:pPr>
              <w:spacing w:after="0" w:line="228" w:lineRule="auto"/>
            </w:pPr>
            <w:r/>
            <w:r>
              <w:rPr>
                <w:rFonts w:ascii="Aptos" w:hAnsi="Aptos"/>
                <w:b/>
                <w:color w:val="25324A"/>
                <w:sz w:val="16"/>
              </w:rPr>
              <w:t>Attendance</w:t>
            </w:r>
          </w:p>
        </w:tc>
        <w:tc>
          <w:tcPr>
            <w:tcW w:type="dxa" w:w="6408"/>
            <w:vAlign w:val="top"/>
            <w:tcMar>
              <w:top w:w="45" w:type="dxa"/>
              <w:start w:w="70" w:type="dxa"/>
              <w:bottom w:w="45" w:type="dxa"/>
              <w:end w:w="70" w:type="dxa"/>
            </w:tcMar>
            <w:shd w:fill="F2F3F5"/>
          </w:tcPr>
          <w:p>
            <w:pPr>
              <w:spacing w:after="0" w:line="228" w:lineRule="auto"/>
            </w:pPr>
            <w:r/>
            <w:r>
              <w:rPr>
                <w:rFonts w:ascii="Aptos" w:hAnsi="Aptos"/>
                <w:b w:val="0"/>
                <w:color w:val="25324A"/>
                <w:sz w:val="16"/>
              </w:rPr>
              <w:t>Are there emerging attendance or punctuality disparities linked to disability or another relevant protected characteristic?</w:t>
            </w:r>
          </w:p>
        </w:tc>
        <w:tc>
          <w:tcPr>
            <w:tcW w:type="dxa" w:w="2880"/>
            <w:vAlign w:val="top"/>
            <w:tcMar>
              <w:top w:w="45" w:type="dxa"/>
              <w:start w:w="70" w:type="dxa"/>
              <w:bottom w:w="45" w:type="dxa"/>
              <w:end w:w="70" w:type="dxa"/>
            </w:tcMar>
            <w:shd w:fill="F2F3F5"/>
          </w:tcPr>
          <w:p>
            <w:pPr>
              <w:spacing w:after="0" w:line="228" w:lineRule="auto"/>
            </w:pPr>
            <w:r/>
            <w:r>
              <w:rPr>
                <w:rFonts w:ascii="Aptos" w:hAnsi="Aptos"/>
                <w:b w:val="0"/>
                <w:color w:val="25324A"/>
                <w:sz w:val="16"/>
              </w:rPr>
            </w:r>
          </w:p>
        </w:tc>
      </w:tr>
      <w:tr>
        <w:trPr>
          <w:cantSplit/>
        </w:trPr>
        <w:tc>
          <w:tcPr>
            <w:tcW w:type="dxa" w:w="1944"/>
            <w:vAlign w:val="top"/>
            <w:tcMar>
              <w:top w:w="45" w:type="dxa"/>
              <w:start w:w="70" w:type="dxa"/>
              <w:bottom w:w="45" w:type="dxa"/>
              <w:end w:w="70" w:type="dxa"/>
            </w:tcMar>
          </w:tcPr>
          <w:p>
            <w:pPr>
              <w:spacing w:after="0" w:line="228" w:lineRule="auto"/>
            </w:pPr>
            <w:r/>
            <w:r>
              <w:rPr>
                <w:rFonts w:ascii="Aptos" w:hAnsi="Aptos"/>
                <w:b/>
                <w:color w:val="25324A"/>
                <w:sz w:val="16"/>
              </w:rPr>
              <w:t>Outcomes</w:t>
            </w:r>
          </w:p>
        </w:tc>
        <w:tc>
          <w:tcPr>
            <w:tcW w:type="dxa" w:w="6408"/>
            <w:vAlign w:val="top"/>
            <w:tcMar>
              <w:top w:w="45" w:type="dxa"/>
              <w:start w:w="70" w:type="dxa"/>
              <w:bottom w:w="45" w:type="dxa"/>
              <w:end w:w="70" w:type="dxa"/>
            </w:tcMar>
          </w:tcPr>
          <w:p>
            <w:pPr>
              <w:spacing w:after="0" w:line="228" w:lineRule="auto"/>
            </w:pPr>
            <w:r/>
            <w:r>
              <w:rPr>
                <w:rFonts w:ascii="Aptos" w:hAnsi="Aptos"/>
                <w:b w:val="0"/>
                <w:color w:val="25324A"/>
                <w:sz w:val="16"/>
              </w:rPr>
              <w:t>Do attainment/progress patterns indicate a potential equality issue requiring investigation?</w:t>
            </w:r>
          </w:p>
        </w:tc>
        <w:tc>
          <w:tcPr>
            <w:tcW w:type="dxa" w:w="2880"/>
            <w:vAlign w:val="top"/>
            <w:tcMar>
              <w:top w:w="45" w:type="dxa"/>
              <w:start w:w="70" w:type="dxa"/>
              <w:bottom w:w="45" w:type="dxa"/>
              <w:end w:w="70" w:type="dxa"/>
            </w:tcMar>
          </w:tcPr>
          <w:p>
            <w:pPr>
              <w:spacing w:after="0" w:line="228" w:lineRule="auto"/>
            </w:pPr>
            <w:r/>
            <w:r>
              <w:rPr>
                <w:rFonts w:ascii="Aptos" w:hAnsi="Aptos"/>
                <w:b w:val="0"/>
                <w:color w:val="25324A"/>
                <w:sz w:val="16"/>
              </w:rPr>
            </w:r>
          </w:p>
        </w:tc>
      </w:tr>
      <w:tr>
        <w:trPr>
          <w:cantSplit/>
        </w:trPr>
        <w:tc>
          <w:tcPr>
            <w:tcW w:type="dxa" w:w="1944"/>
            <w:vAlign w:val="top"/>
            <w:tcMar>
              <w:top w:w="45" w:type="dxa"/>
              <w:start w:w="70" w:type="dxa"/>
              <w:bottom w:w="45" w:type="dxa"/>
              <w:end w:w="70" w:type="dxa"/>
            </w:tcMar>
            <w:shd w:fill="F2F3F5"/>
          </w:tcPr>
          <w:p>
            <w:pPr>
              <w:spacing w:after="0" w:line="228" w:lineRule="auto"/>
            </w:pPr>
            <w:r/>
            <w:r>
              <w:rPr>
                <w:rFonts w:ascii="Aptos" w:hAnsi="Aptos"/>
                <w:b/>
                <w:color w:val="25324A"/>
                <w:sz w:val="16"/>
              </w:rPr>
              <w:t>SEND / disability</w:t>
            </w:r>
          </w:p>
        </w:tc>
        <w:tc>
          <w:tcPr>
            <w:tcW w:type="dxa" w:w="6408"/>
            <w:vAlign w:val="top"/>
            <w:tcMar>
              <w:top w:w="45" w:type="dxa"/>
              <w:start w:w="70" w:type="dxa"/>
              <w:bottom w:w="45" w:type="dxa"/>
              <w:end w:w="70" w:type="dxa"/>
            </w:tcMar>
            <w:shd w:fill="F2F3F5"/>
          </w:tcPr>
          <w:p>
            <w:pPr>
              <w:spacing w:after="0" w:line="228" w:lineRule="auto"/>
            </w:pPr>
            <w:r/>
            <w:r>
              <w:rPr>
                <w:rFonts w:ascii="Aptos" w:hAnsi="Aptos"/>
                <w:b w:val="0"/>
                <w:color w:val="25324A"/>
                <w:sz w:val="16"/>
              </w:rPr>
              <w:t>Are reasonable adjustments and accessibility arrangements effective? Are there avoidable barriers to participation?</w:t>
            </w:r>
          </w:p>
        </w:tc>
        <w:tc>
          <w:tcPr>
            <w:tcW w:type="dxa" w:w="2880"/>
            <w:vAlign w:val="top"/>
            <w:tcMar>
              <w:top w:w="45" w:type="dxa"/>
              <w:start w:w="70" w:type="dxa"/>
              <w:bottom w:w="45" w:type="dxa"/>
              <w:end w:w="70" w:type="dxa"/>
            </w:tcMar>
            <w:shd w:fill="F2F3F5"/>
          </w:tcPr>
          <w:p>
            <w:pPr>
              <w:spacing w:after="0" w:line="228" w:lineRule="auto"/>
            </w:pPr>
            <w:r/>
            <w:r>
              <w:rPr>
                <w:rFonts w:ascii="Aptos" w:hAnsi="Aptos"/>
                <w:b w:val="0"/>
                <w:color w:val="25324A"/>
                <w:sz w:val="16"/>
              </w:rPr>
            </w:r>
          </w:p>
        </w:tc>
      </w:tr>
      <w:tr>
        <w:trPr>
          <w:cantSplit/>
        </w:trPr>
        <w:tc>
          <w:tcPr>
            <w:tcW w:type="dxa" w:w="1944"/>
            <w:vAlign w:val="top"/>
            <w:tcMar>
              <w:top w:w="45" w:type="dxa"/>
              <w:start w:w="70" w:type="dxa"/>
              <w:bottom w:w="45" w:type="dxa"/>
              <w:end w:w="70" w:type="dxa"/>
            </w:tcMar>
          </w:tcPr>
          <w:p>
            <w:pPr>
              <w:spacing w:after="0" w:line="228" w:lineRule="auto"/>
            </w:pPr>
            <w:r/>
            <w:r>
              <w:rPr>
                <w:rFonts w:ascii="Aptos" w:hAnsi="Aptos"/>
                <w:b/>
                <w:color w:val="25324A"/>
                <w:sz w:val="16"/>
              </w:rPr>
              <w:t>Participation</w:t>
            </w:r>
          </w:p>
        </w:tc>
        <w:tc>
          <w:tcPr>
            <w:tcW w:type="dxa" w:w="6408"/>
            <w:vAlign w:val="top"/>
            <w:tcMar>
              <w:top w:w="45" w:type="dxa"/>
              <w:start w:w="70" w:type="dxa"/>
              <w:bottom w:w="45" w:type="dxa"/>
              <w:end w:w="70" w:type="dxa"/>
            </w:tcMar>
          </w:tcPr>
          <w:p>
            <w:pPr>
              <w:spacing w:after="0" w:line="228" w:lineRule="auto"/>
            </w:pPr>
            <w:r/>
            <w:r>
              <w:rPr>
                <w:rFonts w:ascii="Aptos" w:hAnsi="Aptos"/>
                <w:b w:val="0"/>
                <w:color w:val="25324A"/>
                <w:sz w:val="16"/>
              </w:rPr>
              <w:t>Are any pupils/groups under-represented in clubs, trips, leadership or enrichment, and is there an equality-related barrier?</w:t>
            </w:r>
          </w:p>
        </w:tc>
        <w:tc>
          <w:tcPr>
            <w:tcW w:type="dxa" w:w="2880"/>
            <w:vAlign w:val="top"/>
            <w:tcMar>
              <w:top w:w="45" w:type="dxa"/>
              <w:start w:w="70" w:type="dxa"/>
              <w:bottom w:w="45" w:type="dxa"/>
              <w:end w:w="70" w:type="dxa"/>
            </w:tcMar>
          </w:tcPr>
          <w:p>
            <w:pPr>
              <w:spacing w:after="0" w:line="228" w:lineRule="auto"/>
            </w:pPr>
            <w:r/>
            <w:r>
              <w:rPr>
                <w:rFonts w:ascii="Aptos" w:hAnsi="Aptos"/>
                <w:b w:val="0"/>
                <w:color w:val="25324A"/>
                <w:sz w:val="16"/>
              </w:rPr>
            </w:r>
          </w:p>
        </w:tc>
      </w:tr>
      <w:tr>
        <w:trPr>
          <w:cantSplit/>
        </w:trPr>
        <w:tc>
          <w:tcPr>
            <w:tcW w:type="dxa" w:w="1944"/>
            <w:vAlign w:val="top"/>
            <w:tcMar>
              <w:top w:w="45" w:type="dxa"/>
              <w:start w:w="70" w:type="dxa"/>
              <w:bottom w:w="45" w:type="dxa"/>
              <w:end w:w="70" w:type="dxa"/>
            </w:tcMar>
            <w:shd w:fill="F2F3F5"/>
          </w:tcPr>
          <w:p>
            <w:pPr>
              <w:spacing w:after="0" w:line="228" w:lineRule="auto"/>
            </w:pPr>
            <w:r/>
            <w:r>
              <w:rPr>
                <w:rFonts w:ascii="Aptos" w:hAnsi="Aptos"/>
                <w:b/>
                <w:color w:val="25324A"/>
                <w:sz w:val="16"/>
              </w:rPr>
              <w:t>Curriculum</w:t>
            </w:r>
          </w:p>
        </w:tc>
        <w:tc>
          <w:tcPr>
            <w:tcW w:type="dxa" w:w="6408"/>
            <w:vAlign w:val="top"/>
            <w:tcMar>
              <w:top w:w="45" w:type="dxa"/>
              <w:start w:w="70" w:type="dxa"/>
              <w:bottom w:w="45" w:type="dxa"/>
              <w:end w:w="70" w:type="dxa"/>
            </w:tcMar>
            <w:shd w:fill="F2F3F5"/>
          </w:tcPr>
          <w:p>
            <w:pPr>
              <w:spacing w:after="0" w:line="228" w:lineRule="auto"/>
            </w:pPr>
            <w:r/>
            <w:r>
              <w:rPr>
                <w:rFonts w:ascii="Aptos" w:hAnsi="Aptos"/>
                <w:b w:val="0"/>
                <w:color w:val="25324A"/>
                <w:sz w:val="16"/>
              </w:rPr>
              <w:t>Does the curriculum/resources provide age-appropriate representation and challenge stereotypes and prejudice?</w:t>
            </w:r>
          </w:p>
        </w:tc>
        <w:tc>
          <w:tcPr>
            <w:tcW w:type="dxa" w:w="2880"/>
            <w:vAlign w:val="top"/>
            <w:tcMar>
              <w:top w:w="45" w:type="dxa"/>
              <w:start w:w="70" w:type="dxa"/>
              <w:bottom w:w="45" w:type="dxa"/>
              <w:end w:w="70" w:type="dxa"/>
            </w:tcMar>
            <w:shd w:fill="F2F3F5"/>
          </w:tcPr>
          <w:p>
            <w:pPr>
              <w:spacing w:after="0" w:line="228" w:lineRule="auto"/>
            </w:pPr>
            <w:r/>
            <w:r>
              <w:rPr>
                <w:rFonts w:ascii="Aptos" w:hAnsi="Aptos"/>
                <w:b w:val="0"/>
                <w:color w:val="25324A"/>
                <w:sz w:val="16"/>
              </w:rPr>
            </w:r>
          </w:p>
        </w:tc>
      </w:tr>
      <w:tr>
        <w:trPr>
          <w:cantSplit/>
        </w:trPr>
        <w:tc>
          <w:tcPr>
            <w:tcW w:type="dxa" w:w="1944"/>
            <w:vAlign w:val="top"/>
            <w:tcMar>
              <w:top w:w="45" w:type="dxa"/>
              <w:start w:w="70" w:type="dxa"/>
              <w:bottom w:w="45" w:type="dxa"/>
              <w:end w:w="70" w:type="dxa"/>
            </w:tcMar>
          </w:tcPr>
          <w:p>
            <w:pPr>
              <w:spacing w:after="0" w:line="228" w:lineRule="auto"/>
            </w:pPr>
            <w:r/>
            <w:r>
              <w:rPr>
                <w:rFonts w:ascii="Aptos" w:hAnsi="Aptos"/>
                <w:b/>
                <w:color w:val="25324A"/>
                <w:sz w:val="16"/>
              </w:rPr>
              <w:t>Voice / complaints</w:t>
            </w:r>
          </w:p>
        </w:tc>
        <w:tc>
          <w:tcPr>
            <w:tcW w:type="dxa" w:w="6408"/>
            <w:vAlign w:val="top"/>
            <w:tcMar>
              <w:top w:w="45" w:type="dxa"/>
              <w:start w:w="70" w:type="dxa"/>
              <w:bottom w:w="45" w:type="dxa"/>
              <w:end w:w="70" w:type="dxa"/>
            </w:tcMar>
          </w:tcPr>
          <w:p>
            <w:pPr>
              <w:spacing w:after="0" w:line="228" w:lineRule="auto"/>
            </w:pPr>
            <w:r/>
            <w:r>
              <w:rPr>
                <w:rFonts w:ascii="Aptos" w:hAnsi="Aptos"/>
                <w:b w:val="0"/>
                <w:color w:val="25324A"/>
                <w:sz w:val="16"/>
              </w:rPr>
              <w:t>What do pupil voice, parent feedback or complaints tell us about inclusion, belonging and fair treatment?</w:t>
            </w:r>
          </w:p>
        </w:tc>
        <w:tc>
          <w:tcPr>
            <w:tcW w:type="dxa" w:w="2880"/>
            <w:vAlign w:val="top"/>
            <w:tcMar>
              <w:top w:w="45" w:type="dxa"/>
              <w:start w:w="70" w:type="dxa"/>
              <w:bottom w:w="45" w:type="dxa"/>
              <w:end w:w="70" w:type="dxa"/>
            </w:tcMar>
          </w:tcPr>
          <w:p>
            <w:pPr>
              <w:spacing w:after="0" w:line="228" w:lineRule="auto"/>
            </w:pPr>
            <w:r/>
            <w:r>
              <w:rPr>
                <w:rFonts w:ascii="Aptos" w:hAnsi="Aptos"/>
                <w:b w:val="0"/>
                <w:color w:val="25324A"/>
                <w:sz w:val="16"/>
              </w:rPr>
            </w:r>
          </w:p>
        </w:tc>
      </w:tr>
      <w:tr>
        <w:trPr>
          <w:cantSplit/>
        </w:trPr>
        <w:tc>
          <w:tcPr>
            <w:tcW w:type="dxa" w:w="1944"/>
            <w:vAlign w:val="top"/>
            <w:tcMar>
              <w:top w:w="45" w:type="dxa"/>
              <w:start w:w="70" w:type="dxa"/>
              <w:bottom w:w="45" w:type="dxa"/>
              <w:end w:w="70" w:type="dxa"/>
            </w:tcMar>
            <w:shd w:fill="F2F3F5"/>
          </w:tcPr>
          <w:p>
            <w:pPr>
              <w:spacing w:after="0" w:line="228" w:lineRule="auto"/>
            </w:pPr>
            <w:r/>
            <w:r>
              <w:rPr>
                <w:rFonts w:ascii="Aptos" w:hAnsi="Aptos"/>
                <w:b/>
                <w:color w:val="25324A"/>
                <w:sz w:val="16"/>
              </w:rPr>
              <w:t>Policies / decisions</w:t>
            </w:r>
          </w:p>
        </w:tc>
        <w:tc>
          <w:tcPr>
            <w:tcW w:type="dxa" w:w="6408"/>
            <w:vAlign w:val="top"/>
            <w:tcMar>
              <w:top w:w="45" w:type="dxa"/>
              <w:start w:w="70" w:type="dxa"/>
              <w:bottom w:w="45" w:type="dxa"/>
              <w:end w:w="70" w:type="dxa"/>
            </w:tcMar>
            <w:shd w:fill="F2F3F5"/>
          </w:tcPr>
          <w:p>
            <w:pPr>
              <w:spacing w:after="0" w:line="228" w:lineRule="auto"/>
            </w:pPr>
            <w:r/>
            <w:r>
              <w:rPr>
                <w:rFonts w:ascii="Aptos" w:hAnsi="Aptos"/>
                <w:b w:val="0"/>
                <w:color w:val="25324A"/>
                <w:sz w:val="16"/>
              </w:rPr>
              <w:t>Have significant policy or strategic decisions considered relevant equality implications?</w:t>
            </w:r>
          </w:p>
        </w:tc>
        <w:tc>
          <w:tcPr>
            <w:tcW w:type="dxa" w:w="2880"/>
            <w:vAlign w:val="top"/>
            <w:tcMar>
              <w:top w:w="45" w:type="dxa"/>
              <w:start w:w="70" w:type="dxa"/>
              <w:bottom w:w="45" w:type="dxa"/>
              <w:end w:w="70" w:type="dxa"/>
            </w:tcMar>
            <w:shd w:fill="F2F3F5"/>
          </w:tcPr>
          <w:p>
            <w:pPr>
              <w:spacing w:after="0" w:line="228" w:lineRule="auto"/>
            </w:pPr>
            <w:r/>
            <w:r>
              <w:rPr>
                <w:rFonts w:ascii="Aptos" w:hAnsi="Aptos"/>
                <w:b w:val="0"/>
                <w:color w:val="25324A"/>
                <w:sz w:val="16"/>
              </w:rPr>
            </w:r>
          </w:p>
        </w:tc>
      </w:tr>
      <w:tr>
        <w:trPr>
          <w:cantSplit/>
        </w:trPr>
        <w:tc>
          <w:tcPr>
            <w:tcW w:type="dxa" w:w="1944"/>
            <w:vAlign w:val="top"/>
            <w:tcMar>
              <w:top w:w="45" w:type="dxa"/>
              <w:start w:w="70" w:type="dxa"/>
              <w:bottom w:w="45" w:type="dxa"/>
              <w:end w:w="70" w:type="dxa"/>
            </w:tcMar>
          </w:tcPr>
          <w:p>
            <w:pPr>
              <w:spacing w:after="0" w:line="228" w:lineRule="auto"/>
            </w:pPr>
            <w:r/>
            <w:r>
              <w:rPr>
                <w:rFonts w:ascii="Aptos" w:hAnsi="Aptos"/>
                <w:b/>
                <w:color w:val="25324A"/>
                <w:sz w:val="16"/>
              </w:rPr>
              <w:t>Publication and privacy</w:t>
            </w:r>
          </w:p>
        </w:tc>
        <w:tc>
          <w:tcPr>
            <w:tcW w:type="dxa" w:w="6408"/>
            <w:vAlign w:val="top"/>
            <w:tcMar>
              <w:top w:w="45" w:type="dxa"/>
              <w:start w:w="70" w:type="dxa"/>
              <w:bottom w:w="45" w:type="dxa"/>
              <w:end w:w="70" w:type="dxa"/>
            </w:tcMar>
          </w:tcPr>
          <w:p>
            <w:pPr>
              <w:spacing w:after="0" w:line="228" w:lineRule="auto"/>
            </w:pPr>
            <w:r/>
            <w:r>
              <w:rPr>
                <w:rFonts w:ascii="Aptos" w:hAnsi="Aptos"/>
                <w:b w:val="0"/>
                <w:color w:val="25324A"/>
                <w:sz w:val="16"/>
              </w:rPr>
              <w:t>Is published information useful and current without identifying pupils, families or staff in small groups?</w:t>
            </w:r>
          </w:p>
        </w:tc>
        <w:tc>
          <w:tcPr>
            <w:tcW w:type="dxa" w:w="2880"/>
            <w:vAlign w:val="top"/>
            <w:tcMar>
              <w:top w:w="45" w:type="dxa"/>
              <w:start w:w="70" w:type="dxa"/>
              <w:bottom w:w="45" w:type="dxa"/>
              <w:end w:w="70" w:type="dxa"/>
            </w:tcMar>
          </w:tcPr>
          <w:p>
            <w:pPr>
              <w:spacing w:after="0" w:line="228" w:lineRule="auto"/>
            </w:pPr>
            <w:r/>
            <w:r>
              <w:rPr>
                <w:rFonts w:ascii="Aptos" w:hAnsi="Aptos"/>
                <w:b w:val="0"/>
                <w:color w:val="25324A"/>
                <w:sz w:val="16"/>
              </w:rPr>
            </w:r>
          </w:p>
        </w:tc>
      </w:tr>
    </w:tbl>
    <w:tbl>
      <w:tblPr>
        <w:tblW w:type="auto" w:w="0"/>
        <w:jc w:val="center"/>
        <w:tblLook w:firstColumn="1" w:firstRow="1" w:lastColumn="0" w:lastRow="0" w:noHBand="0" w:noVBand="1" w:val="04A0"/>
        <w:tblBorders>
          <w:top w:val="single" w:sz="5" w:color="D7D9DE"/>
          <w:left w:val="single" w:sz="5" w:color="D7D9DE"/>
          <w:bottom w:val="single" w:sz="5" w:color="D7D9DE"/>
          <w:right w:val="single" w:sz="5" w:color="D7D9DE"/>
          <w:insideH w:val="single" w:sz="5" w:color="D7D9DE"/>
          <w:insideV w:val="single" w:sz="5" w:color="D7D9DE"/>
        </w:tblBorders>
      </w:tblPr>
      <w:tblGrid>
        <w:gridCol w:w="10166"/>
      </w:tblGrid>
      <w:tr>
        <w:trPr>
          <w:cantSplit/>
        </w:trPr>
        <w:tc>
          <w:tcPr>
            <w:tcW w:type="dxa" w:w="10166"/>
            <w:shd w:fill="FFF8D9"/>
            <w:tcMar>
              <w:top w:w="120" w:type="dxa"/>
              <w:start w:w="140" w:type="dxa"/>
              <w:bottom w:w="120" w:type="dxa"/>
              <w:end w:w="140" w:type="dxa"/>
            </w:tcMar>
          </w:tcPr>
          <w:p>
            <w:r>
              <w:rPr>
                <w:rFonts w:ascii="Aptos" w:hAnsi="Aptos"/>
                <w:b/>
                <w:color w:val="3E2B8F"/>
                <w:sz w:val="22"/>
              </w:rPr>
              <w:t>Annual publication reminder</w:t>
              <w:br/>
            </w:r>
            <w:r>
              <w:rPr>
                <w:rFonts w:ascii="Aptos" w:hAnsi="Aptos"/>
                <w:color w:val="25324A"/>
                <w:sz w:val="21"/>
              </w:rPr>
              <w:t>Equality information should be updated at least once every 12 months. Manuden’s next planned update is March 2027. Equality objectives must be renewed at least every four years, but progress should be reviewed annually.</w:t>
            </w:r>
          </w:p>
        </w:tc>
      </w:tr>
    </w:tbl>
    <w:p>
      <w:pPr>
        <w:spacing w:after="0"/>
      </w:pPr>
    </w:p>
    <w:sectPr w:rsidR="00FC693F" w:rsidRPr="0006063C" w:rsidSect="00034616">
      <w:footerReference w:type="default" r:id="rId10"/>
      <w:pgSz w:w="12240" w:h="15840"/>
      <w:pgMar w:top="792" w:right="1037" w:bottom="835" w:left="1037" w:header="288"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Bdr>
        <w:top w:val="single" w:sz="8" w:space="4" w:color="3E2B8F"/>
      </w:pBdr>
    </w:pPr>
    <w:r>
      <w:rPr>
        <w:rFonts w:ascii="Aptos" w:hAnsi="Aptos"/>
        <w:color w:val="6D7280"/>
        <w:sz w:val="16"/>
      </w:rPr>
      <w:t>Manuden Primary School  |  Equality Information &amp; Objectives 2026–30</w:t>
    </w:r>
  </w:p>
  <w:p>
    <w:pPr>
      <w:spacing w:before="20" w:after="0"/>
      <w:jc w:val="center"/>
    </w:pPr>
    <w:r>
      <w:rPr>
        <w:rFonts w:ascii="Aptos" w:hAnsi="Aptos"/>
        <w:color w:val="6D7280"/>
        <w:sz w:val="16"/>
      </w:rPr>
      <w:t>Manuden Primary School  |  Equality Information &amp; Objectives 2026–30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5324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w:hAnsi="Aptos" w:eastAsia="Aptos" w:cs="Aptos"/>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Aptos" w:hAnsi="Aptos" w:eastAsia="Aptos" w:cs="Aptos"/>
      <w:b/>
      <w:bCs/>
      <w:color w:val="25324A"/>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Aptos" w:hAnsi="Aptos" w:eastAsia="Aptos" w:cs="Aptos"/>
      <w:b/>
      <w:bCs/>
      <w:color w:val="25324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color w:val="25324A"/>
      <w:sz w:val="21"/>
    </w:rPr>
  </w:style>
  <w:style w:type="paragraph" w:styleId="ListBullet2">
    <w:name w:val="List Bullet 2"/>
    <w:basedOn w:val="Normal"/>
    <w:uiPriority w:val="99"/>
    <w:unhideWhenUsed/>
    <w:rsid w:val="00326F90"/>
    <w:pPr>
      <w:numPr>
        <w:numId w:val="2"/>
      </w:numPr>
      <w:contextualSpacing/>
    </w:pPr>
    <w:rPr>
      <w:rFonts w:ascii="Aptos" w:hAnsi="Aptos"/>
      <w:color w:val="25324A"/>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color w:val="25324A"/>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 Id="rId11" Type="http://schemas.openxmlformats.org/officeDocument/2006/relationships/hyperlink" Target="https://www.gov.uk/government/publications/health-and-safety-advice-for-schools/responsibilities-and-duties-for-schools" TargetMode="External"/><Relationship Id="rId12" Type="http://schemas.openxmlformats.org/officeDocument/2006/relationships/hyperlink" Target="https://www.hse.gov.uk/education/" TargetMode="External"/><Relationship Id="rId13" Type="http://schemas.openxmlformats.org/officeDocument/2006/relationships/hyperlink" Target="https://www.hse.gov.uk/riddor/" TargetMode="External"/><Relationship Id="rId14" Type="http://schemas.openxmlformats.org/officeDocument/2006/relationships/hyperlink" Target="https://schools.essex.gov.uk/school-management/health-and-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
  <cp:revision>1</cp:revision>
  <dcterms:created xsi:type="dcterms:W3CDTF">2013-12-23T23:15:00Z</dcterms:created>
  <dcterms:modified xsi:type="dcterms:W3CDTF">2013-12-23T23:15:00Z</dcterms:modified>
  <cp:category/>
</cp:coreProperties>
</file>