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128"/>
        <w:gridCol w:w="2448"/>
      </w:tblGrid>
      <w:tr>
        <w:trPr>
          <w:cantSplit/>
        </w:trPr>
        <w:tc>
          <w:tcPr>
            <w:tcW w:type="dxa" w:w="5083"/>
            <w:tcMar>
              <w:top w:w="20" w:type="dxa"/>
              <w:start w:w="5" w:type="dxa"/>
              <w:bottom w:w="20" w:type="dxa"/>
              <w:end w:w="5" w:type="dxa"/>
            </w:tcMar>
            <w:vAlign w:val="center"/>
          </w:tcPr>
          <w:p>
            <w:r>
              <w:rPr>
                <w:rFonts w:ascii="Comfortaa" w:hAnsi="Comfortaa" w:eastAsia="Comfortaa"/>
                <w:b/>
                <w:color w:val="3E2B8F"/>
                <w:sz w:val="46"/>
              </w:rPr>
              <w:t>MANUDEN</w:t>
            </w:r>
            <w:r>
              <w:rPr>
                <w:rFonts w:ascii="Aptos" w:hAnsi="Aptos" w:eastAsia="Aptos"/>
                <w:b/>
                <w:color w:val="F3C300"/>
                <w:sz w:val="26"/>
              </w:rPr>
              <w:t xml:space="preserve">  PRIMARY SCHOOL</w:t>
            </w:r>
          </w:p>
          <w:p>
            <w:r>
              <w:rPr>
                <w:rFonts w:ascii="Aptos" w:hAnsi="Aptos" w:eastAsia="Aptos"/>
                <w:b w:val="0"/>
                <w:color w:val="25324A"/>
                <w:sz w:val="19"/>
              </w:rPr>
              <w:t>A Small School with Big Ideas</w:t>
            </w:r>
          </w:p>
        </w:tc>
        <w:tc>
          <w:tcPr>
            <w:tcW w:type="dxa" w:w="5083"/>
            <w:tcMar>
              <w:top w:w="20" w:type="dxa"/>
              <w:start w:w="5" w:type="dxa"/>
              <w:bottom w:w="20" w:type="dxa"/>
              <w:end w:w="5" w:type="dxa"/>
            </w:tcMar>
            <w:vAlign w:val="center"/>
          </w:tcPr>
          <w:p>
            <w:pPr>
              <w:jc w:val="center"/>
            </w:pPr>
            <w:r>
              <w:drawing>
                <wp:inline xmlns:a="http://schemas.openxmlformats.org/drawingml/2006/main" xmlns:pic="http://schemas.openxmlformats.org/drawingml/2006/picture">
                  <wp:extent cx="1078992" cy="1169136"/>
                  <wp:docPr id="1" name="Picture 1" descr="Manuden Primary School logo"/>
                  <wp:cNvGraphicFramePr>
                    <a:graphicFrameLocks noChangeAspect="1"/>
                  </wp:cNvGraphicFramePr>
                  <a:graphic>
                    <a:graphicData uri="http://schemas.openxmlformats.org/drawingml/2006/picture">
                      <pic:pic>
                        <pic:nvPicPr>
                          <pic:cNvPr id="0" name="manuden_logo_clean.png"/>
                          <pic:cNvPicPr/>
                        </pic:nvPicPr>
                        <pic:blipFill>
                          <a:blip r:embed="rId10"/>
                          <a:stretch>
                            <a:fillRect/>
                          </a:stretch>
                        </pic:blipFill>
                        <pic:spPr>
                          <a:xfrm>
                            <a:off x="0" y="0"/>
                            <a:ext cx="1078992" cy="1169136"/>
                          </a:xfrm>
                          <a:prstGeom prst="rect"/>
                        </pic:spPr>
                      </pic:pic>
                    </a:graphicData>
                  </a:graphic>
                </wp:inline>
              </w:drawing>
            </w:r>
          </w:p>
          <w:p>
            <w:pPr>
              <w:jc w:val="center"/>
            </w:pPr>
            <w:r>
              <w:rPr>
                <w:rFonts w:ascii="Aptos" w:hAnsi="Aptos" w:eastAsia="Aptos"/>
                <w:b/>
                <w:color w:val="3E2B8F"/>
                <w:sz w:val="17"/>
              </w:rPr>
              <w:t>POLICY DOCUMENT</w:t>
            </w:r>
          </w:p>
        </w:tc>
      </w:tr>
    </w:tbl>
    <w:p>
      <w:pPr>
        <w:spacing w:after="260"/>
        <w:pBdr>
          <w:bottom w:val="single" w:sz="24" w:space="3" w:color="F3C300"/>
        </w:pBdr>
      </w:pPr>
    </w:p>
    <w:p>
      <w:pPr>
        <w:spacing w:after="60"/>
        <w:jc w:val="center"/>
      </w:pPr>
      <w:r>
        <w:rPr>
          <w:rFonts w:ascii="Comfortaa" w:hAnsi="Comfortaa" w:eastAsia="Comfortaa"/>
          <w:b/>
          <w:color w:val="3E2B8F"/>
          <w:sz w:val="45"/>
        </w:rPr>
        <w:t>CHILD PROTECTION AND</w:t>
        <w:br/>
        <w:t>SAFEGUARDING POLICY</w:t>
      </w:r>
    </w:p>
    <w:p>
      <w:pPr>
        <w:spacing w:after="260"/>
        <w:jc w:val="center"/>
      </w:pPr>
      <w:r>
        <w:rPr>
          <w:rFonts w:ascii="Aptos" w:hAnsi="Aptos" w:eastAsia="Aptos"/>
          <w:b w:val="0"/>
          <w:color w:val="25324A"/>
          <w:sz w:val="21"/>
        </w:rPr>
        <w:t>Growing Hearts  •  Growing Minds  •  Growing Dreams</w:t>
      </w:r>
    </w:p>
    <w:tbl>
      <w:tblPr>
        <w:tblW w:type="auto" w:w="0"/>
        <w:jc w:val="center"/>
        <w:tblLayout w:type="fixed"/>
        <w:tblLook w:firstColumn="1" w:firstRow="1" w:lastColumn="0" w:lastRow="0" w:noHBand="0" w:noVBand="1" w:val="04A0"/>
      </w:tblPr>
      <w:tblGrid>
        <w:gridCol w:w="3139"/>
        <w:gridCol w:w="3139"/>
        <w:gridCol w:w="3139"/>
      </w:tblGrid>
      <w:tr>
        <w:trPr>
          <w:cantSplit/>
        </w:trPr>
        <w:tc>
          <w:tcPr>
            <w:tcW w:type="dxa" w:w="3389"/>
            <w:shd w:fill="3E2B8F"/>
            <w:tcMar>
              <w:top w:w="0" w:type="dxa"/>
              <w:start w:w="0" w:type="dxa"/>
              <w:bottom w:w="0" w:type="dxa"/>
              <w:end w:w="0" w:type="dxa"/>
            </w:tcMar>
          </w:tcPr>
          <w:p>
            <w:r>
              <w:rPr>
                <w:rFonts w:ascii="Aptos" w:hAnsi="Aptos" w:eastAsia="Aptos"/>
                <w:sz w:val="4"/>
              </w:rPr>
              <w:t xml:space="preserve"> </w:t>
            </w:r>
          </w:p>
        </w:tc>
        <w:tc>
          <w:tcPr>
            <w:tcW w:type="dxa" w:w="3389"/>
            <w:shd w:fill="F3C300"/>
            <w:tcMar>
              <w:top w:w="0" w:type="dxa"/>
              <w:start w:w="0" w:type="dxa"/>
              <w:bottom w:w="0" w:type="dxa"/>
              <w:end w:w="0" w:type="dxa"/>
            </w:tcMar>
          </w:tcPr>
          <w:p>
            <w:r>
              <w:rPr>
                <w:rFonts w:ascii="Aptos" w:hAnsi="Aptos" w:eastAsia="Aptos"/>
                <w:sz w:val="4"/>
              </w:rPr>
              <w:t xml:space="preserve"> </w:t>
            </w:r>
          </w:p>
        </w:tc>
        <w:tc>
          <w:tcPr>
            <w:tcW w:type="dxa" w:w="3389"/>
            <w:shd w:fill="3E2B8F"/>
            <w:tcMar>
              <w:top w:w="0" w:type="dxa"/>
              <w:start w:w="0" w:type="dxa"/>
              <w:bottom w:w="0" w:type="dxa"/>
              <w:end w:w="0" w:type="dxa"/>
            </w:tcMar>
          </w:tcPr>
          <w:p>
            <w:r>
              <w:rPr>
                <w:rFonts w:ascii="Aptos" w:hAnsi="Aptos" w:eastAsia="Aptos"/>
                <w:sz w:val="4"/>
              </w:rPr>
              <w:t xml:space="preserve"> </w:t>
            </w:r>
          </w:p>
        </w:tc>
      </w:tr>
    </w:tbl>
    <w:p>
      <w:pPr>
        <w:spacing w:after="60"/>
      </w:pPr>
    </w:p>
    <w:p>
      <w:pPr>
        <w:spacing w:after="120"/>
        <w:pBdr>
          <w:bottom w:val="single" w:sz="8" w:space="3" w:color="3E2B8F"/>
        </w:pBdr>
      </w:pPr>
      <w:r>
        <w:rPr>
          <w:rFonts w:ascii="Aptos" w:hAnsi="Aptos" w:eastAsia="Aptos"/>
          <w:b/>
          <w:color w:val="25324A"/>
          <w:sz w:val="22"/>
        </w:rPr>
        <w:t>POLICY INFORMATION</w:t>
      </w:r>
    </w:p>
    <w:tbl>
      <w:tblPr>
        <w:tblW w:type="auto" w:w="0"/>
        <w:jc w:val="center"/>
        <w:tblLayout w:type="fixed"/>
        <w:tblLook w:firstColumn="1" w:firstRow="1" w:lastColumn="0" w:lastRow="0" w:noHBand="0" w:noVBand="1" w:val="04A0"/>
      </w:tblPr>
      <w:tblGrid>
        <w:gridCol w:w="3168"/>
        <w:gridCol w:w="6192"/>
      </w:tblGrid>
      <w:tr>
        <w:trPr>
          <w:cantSplit/>
          <w:cantSplit/>
        </w:trPr>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shd w:fill="F4F5F8"/>
          </w:tcPr>
          <w:p>
            <w:r>
              <w:rPr>
                <w:rFonts w:ascii="Aptos" w:hAnsi="Aptos" w:eastAsia="Aptos"/>
                <w:b/>
                <w:color w:val="25324A"/>
                <w:sz w:val="18"/>
              </w:rPr>
              <w:t>Policy owner / lead</w:t>
            </w:r>
          </w:p>
        </w:tc>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tcPr>
          <w:p>
            <w:r>
              <w:rPr>
                <w:rFonts w:ascii="Aptos" w:hAnsi="Aptos" w:eastAsia="Aptos"/>
                <w:b w:val="0"/>
                <w:color w:val="25324A"/>
                <w:sz w:val="18"/>
              </w:rPr>
              <w:t>Phil Molyneux (Headteacher and Designated Safeguarding Lead)</w:t>
            </w:r>
          </w:p>
        </w:tc>
      </w:tr>
      <w:tr>
        <w:trPr>
          <w:cantSplit/>
          <w:cantSplit/>
        </w:trPr>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shd w:fill="F4F5F8"/>
          </w:tcPr>
          <w:p>
            <w:r>
              <w:rPr>
                <w:rFonts w:ascii="Aptos" w:hAnsi="Aptos" w:eastAsia="Aptos"/>
                <w:b/>
                <w:color w:val="25324A"/>
                <w:sz w:val="18"/>
              </w:rPr>
              <w:t>Approved by</w:t>
            </w:r>
          </w:p>
        </w:tc>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tcPr>
          <w:p>
            <w:r>
              <w:rPr>
                <w:rFonts w:ascii="Aptos" w:hAnsi="Aptos" w:eastAsia="Aptos"/>
                <w:b w:val="0"/>
                <w:color w:val="25324A"/>
                <w:sz w:val="18"/>
              </w:rPr>
              <w:t>Governing Body</w:t>
            </w:r>
          </w:p>
        </w:tc>
      </w:tr>
      <w:tr>
        <w:trPr>
          <w:cantSplit/>
          <w:cantSplit/>
        </w:trPr>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shd w:fill="F4F5F8"/>
          </w:tcPr>
          <w:p>
            <w:r>
              <w:rPr>
                <w:rFonts w:ascii="Aptos" w:hAnsi="Aptos" w:eastAsia="Aptos"/>
                <w:b/>
                <w:color w:val="25324A"/>
                <w:sz w:val="18"/>
              </w:rPr>
              <w:t>Approval / adoption date</w:t>
            </w:r>
          </w:p>
        </w:tc>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tcPr>
          <w:p>
            <w:r>
              <w:t>To be confirmed following Governing Body adoption / re-adoption</w:t>
            </w:r>
          </w:p>
        </w:tc>
      </w:tr>
      <w:tr>
        <w:trPr>
          <w:cantSplit/>
          <w:cantSplit/>
        </w:trPr>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shd w:fill="F4F5F8"/>
          </w:tcPr>
          <w:p>
            <w:r>
              <w:rPr>
                <w:rFonts w:ascii="Aptos" w:hAnsi="Aptos" w:eastAsia="Aptos"/>
                <w:b/>
                <w:color w:val="25324A"/>
                <w:sz w:val="18"/>
              </w:rPr>
              <w:t>Next review date</w:t>
            </w:r>
          </w:p>
        </w:tc>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tcPr>
          <w:p>
            <w:r>
              <w:rPr>
                <w:rFonts w:ascii="Aptos" w:hAnsi="Aptos" w:eastAsia="Aptos"/>
                <w:b w:val="0"/>
                <w:color w:val="25324A"/>
                <w:sz w:val="18"/>
              </w:rPr>
              <w:t>September 2027</w:t>
            </w:r>
          </w:p>
        </w:tc>
      </w:tr>
      <w:tr>
        <w:trPr>
          <w:cantSplit/>
          <w:cantSplit/>
        </w:trPr>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shd w:fill="F4F5F8"/>
          </w:tcPr>
          <w:p>
            <w:r>
              <w:rPr>
                <w:rFonts w:ascii="Aptos" w:hAnsi="Aptos" w:eastAsia="Aptos"/>
                <w:b/>
                <w:color w:val="25324A"/>
                <w:sz w:val="18"/>
              </w:rPr>
              <w:t>Review cycle</w:t>
            </w:r>
          </w:p>
        </w:tc>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tcPr>
          <w:p>
            <w:r>
              <w:rPr>
                <w:rFonts w:ascii="Aptos" w:hAnsi="Aptos" w:eastAsia="Aptos"/>
                <w:b w:val="0"/>
                <w:color w:val="25324A"/>
                <w:sz w:val="18"/>
              </w:rPr>
              <w:t>Annual and earlier if statutory or local guidance changes</w:t>
            </w:r>
          </w:p>
        </w:tc>
      </w:tr>
      <w:tr>
        <w:trPr>
          <w:cantSplit/>
          <w:cantSplit/>
        </w:trPr>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shd w:fill="F4F5F8"/>
          </w:tcPr>
          <w:p>
            <w:r>
              <w:rPr>
                <w:rFonts w:ascii="Aptos" w:hAnsi="Aptos" w:eastAsia="Aptos"/>
                <w:b/>
                <w:color w:val="25324A"/>
                <w:sz w:val="18"/>
              </w:rPr>
              <w:t>Version</w:t>
            </w:r>
          </w:p>
        </w:tc>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tcPr>
          <w:p>
            <w:r>
              <w:t>1.1 – updated 8 September 2026</w:t>
            </w:r>
          </w:p>
        </w:tc>
      </w:tr>
      <w:tr>
        <w:trPr>
          <w:cantSplit/>
          <w:cantSplit/>
        </w:trPr>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shd w:fill="F4F5F8"/>
          </w:tcPr>
          <w:p>
            <w:r>
              <w:rPr>
                <w:rFonts w:ascii="Aptos" w:hAnsi="Aptos" w:eastAsia="Aptos"/>
                <w:b/>
                <w:color w:val="25324A"/>
                <w:sz w:val="18"/>
              </w:rPr>
              <w:t>Policy status</w:t>
            </w:r>
          </w:p>
        </w:tc>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tcPr>
          <w:p>
            <w:r>
              <w:rPr>
                <w:rFonts w:ascii="Aptos" w:hAnsi="Aptos" w:eastAsia="Aptos"/>
                <w:b w:val="0"/>
                <w:color w:val="25324A"/>
                <w:sz w:val="18"/>
              </w:rPr>
              <w:t>Statutory child protection policy</w:t>
            </w:r>
          </w:p>
        </w:tc>
      </w:tr>
    </w:tbl>
    <w:p>
      <w:pPr>
        <w:spacing w:before="120" w:after="40"/>
      </w:pPr>
      <w:r>
        <w:rPr>
          <w:rFonts w:ascii="Aptos" w:hAnsi="Aptos" w:eastAsia="Aptos"/>
          <w:b/>
          <w:color w:val="25324A"/>
          <w:sz w:val="18"/>
        </w:rPr>
        <w:t xml:space="preserve">This policy applies to: </w:t>
      </w:r>
      <w:r>
        <w:rPr>
          <w:rFonts w:ascii="Aptos" w:hAnsi="Aptos" w:eastAsia="Aptos"/>
          <w:b w:val="0"/>
          <w:color w:val="5F6674"/>
          <w:sz w:val="18"/>
        </w:rPr>
        <w:t>All pupils, staff, governors, volunteers, supply staff, contractors and visitors, as relevant to their role.</w:t>
      </w:r>
    </w:p>
    <w:p>
      <w:pPr>
        <w:spacing w:after="0"/>
      </w:pPr>
      <w:r>
        <w:rPr>
          <w:rFonts w:ascii="Aptos" w:hAnsi="Aptos" w:eastAsia="Aptos"/>
          <w:b/>
          <w:color w:val="25324A"/>
          <w:sz w:val="18"/>
        </w:rPr>
        <w:t xml:space="preserve">Related documents: </w:t>
      </w:r>
      <w:r>
        <w:rPr>
          <w:rFonts w:ascii="Aptos" w:hAnsi="Aptos" w:eastAsia="Aptos"/>
          <w:b w:val="0"/>
          <w:color w:val="5F6674"/>
          <w:sz w:val="18"/>
        </w:rPr>
        <w:t>Staff Code of Conduct; Behaviour Policy; Anti-Bullying Policy; Online Safety Policy; Attendance Policy; SEND Policy; Volunteer Policy and Guidance; Whistleblowing Policy; Health and Safety Policy; First Aid Policy; Supporting Pupils with Medical Conditions; Educational Visits procedures; Data Protection Policy; Complaints Policy; Parent and Carer Code of Conduct.</w:t>
      </w:r>
    </w:p>
    <w:p>
      <w:pPr/>
      <w:r>
        <w:t>Revision note: Version 1.1 reflects the final Keeping Children Safe in Education 2026 guidance issued on 1 September 2026 and the updated Essex model Child Protection Policy dated 7 September 2026.</w:t>
      </w:r>
    </w:p>
    <w:p>
      <w:r>
        <w:br w:type="page"/>
      </w:r>
    </w:p>
    <w:p>
      <w:pPr>
        <w:pStyle w:val="Heading1"/>
      </w:pPr>
      <w:r>
        <w:t>Key Safeguarding Contacts</w:t>
      </w:r>
    </w:p>
    <w:p>
      <w:r>
        <w:t>Safeguarding concerns should be acted upon without delay. During the school day, staff should normally report concerns immediately to the DSL or a Deputy DSL. The absence of the DSL must never delay action.</w:t>
      </w:r>
    </w:p>
    <w:tbl>
      <w:tblPr>
        <w:tblW w:type="auto" w:w="0"/>
        <w:jc w:val="center"/>
        <w:tblLayout w:type="fixed"/>
        <w:tblLook w:firstColumn="1" w:firstRow="1" w:lastColumn="0" w:lastRow="0" w:noHBand="0" w:noVBand="1" w:val="04A0"/>
      </w:tblPr>
      <w:tblGrid>
        <w:gridCol w:w="3168"/>
        <w:gridCol w:w="6192"/>
      </w:tblGrid>
      <w:tr>
        <w:trPr>
          <w:cantSplit/>
          <w:tblHeader w:val="true"/>
          <w:cantSplit/>
        </w:trPr>
        <w:tc>
          <w:tcPr>
            <w:tcW w:type="dxa" w:w="5083"/>
            <w:shd w:fill="3E2B8F"/>
            <w:tcBorders>
              <w:top w:val="single" w:sz="5" w:color="3E2B8F"/>
              <w:left w:val="single" w:sz="5" w:color="3E2B8F"/>
              <w:bottom w:val="single" w:sz="5" w:color="3E2B8F"/>
              <w:right w:val="single" w:sz="5" w:color="3E2B8F"/>
            </w:tcBorders>
            <w:tcMar>
              <w:top w:w="90" w:type="dxa"/>
              <w:start w:w="110" w:type="dxa"/>
              <w:bottom w:w="90" w:type="dxa"/>
              <w:end w:w="110" w:type="dxa"/>
            </w:tcMar>
          </w:tcPr>
          <w:p>
            <w:r>
              <w:rPr>
                <w:rFonts w:ascii="Aptos" w:hAnsi="Aptos" w:eastAsia="Aptos"/>
                <w:b/>
                <w:color w:val="FFFFFF"/>
                <w:sz w:val="18"/>
              </w:rPr>
              <w:t>Role</w:t>
            </w:r>
          </w:p>
        </w:tc>
        <w:tc>
          <w:tcPr>
            <w:tcW w:type="dxa" w:w="5083"/>
            <w:shd w:fill="3E2B8F"/>
            <w:tcBorders>
              <w:top w:val="single" w:sz="5" w:color="3E2B8F"/>
              <w:left w:val="single" w:sz="5" w:color="3E2B8F"/>
              <w:bottom w:val="single" w:sz="5" w:color="3E2B8F"/>
              <w:right w:val="single" w:sz="5" w:color="3E2B8F"/>
            </w:tcBorders>
            <w:tcMar>
              <w:top w:w="90" w:type="dxa"/>
              <w:start w:w="110" w:type="dxa"/>
              <w:bottom w:w="90" w:type="dxa"/>
              <w:end w:w="110" w:type="dxa"/>
            </w:tcMar>
          </w:tcPr>
          <w:p>
            <w:r>
              <w:rPr>
                <w:rFonts w:ascii="Aptos" w:hAnsi="Aptos" w:eastAsia="Aptos"/>
                <w:b/>
                <w:color w:val="FFFFFF"/>
                <w:sz w:val="18"/>
              </w:rPr>
              <w:t>Contact / named person</w:t>
            </w:r>
          </w:p>
        </w:tc>
      </w:tr>
      <w:tr>
        <w:trPr>
          <w:cantSplit/>
          <w:cantSplit/>
        </w:trPr>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shd w:fill="F4F5F8"/>
          </w:tcPr>
          <w:p>
            <w:r>
              <w:rPr>
                <w:rFonts w:ascii="Aptos" w:hAnsi="Aptos" w:eastAsia="Aptos"/>
                <w:b/>
                <w:color w:val="25324A"/>
                <w:sz w:val="18"/>
              </w:rPr>
              <w:t>Designated Safeguarding Lead (DSL)</w:t>
            </w:r>
          </w:p>
        </w:tc>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tcPr>
          <w:p>
            <w:r>
              <w:rPr>
                <w:rFonts w:ascii="Aptos" w:hAnsi="Aptos" w:eastAsia="Aptos"/>
                <w:b w:val="0"/>
                <w:color w:val="25324A"/>
                <w:sz w:val="18"/>
              </w:rPr>
              <w:t>Phil Molyneux – Headteacher</w:t>
            </w:r>
          </w:p>
        </w:tc>
      </w:tr>
      <w:tr>
        <w:trPr>
          <w:cantSplit/>
          <w:cantSplit/>
        </w:trPr>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shd w:fill="F4F5F8"/>
          </w:tcPr>
          <w:p>
            <w:r>
              <w:rPr>
                <w:rFonts w:ascii="Aptos" w:hAnsi="Aptos" w:eastAsia="Aptos"/>
                <w:b/>
                <w:color w:val="25324A"/>
                <w:sz w:val="18"/>
              </w:rPr>
              <w:t>Deputy DSL</w:t>
            </w:r>
          </w:p>
        </w:tc>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tcPr>
          <w:p>
            <w:r>
              <w:rPr>
                <w:rFonts w:ascii="Aptos" w:hAnsi="Aptos" w:eastAsia="Aptos"/>
                <w:b w:val="0"/>
                <w:color w:val="25324A"/>
                <w:sz w:val="18"/>
              </w:rPr>
              <w:t>Josh Chesterman</w:t>
            </w:r>
          </w:p>
        </w:tc>
      </w:tr>
      <w:tr>
        <w:trPr>
          <w:cantSplit/>
          <w:cantSplit/>
        </w:trPr>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shd w:fill="F4F5F8"/>
          </w:tcPr>
          <w:p>
            <w:r>
              <w:rPr>
                <w:rFonts w:ascii="Aptos" w:hAnsi="Aptos" w:eastAsia="Aptos"/>
                <w:b/>
                <w:color w:val="25324A"/>
                <w:sz w:val="18"/>
              </w:rPr>
              <w:t>Deputy DSL</w:t>
            </w:r>
          </w:p>
        </w:tc>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tcPr>
          <w:p>
            <w:r>
              <w:rPr>
                <w:rFonts w:ascii="Aptos" w:hAnsi="Aptos" w:eastAsia="Aptos"/>
                <w:b w:val="0"/>
                <w:color w:val="25324A"/>
                <w:sz w:val="18"/>
              </w:rPr>
              <w:t>Eve Reynolds – SENCO</w:t>
            </w:r>
          </w:p>
        </w:tc>
      </w:tr>
      <w:tr>
        <w:trPr>
          <w:cantSplit/>
          <w:cantSplit/>
        </w:trPr>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shd w:fill="F4F5F8"/>
          </w:tcPr>
          <w:p>
            <w:r>
              <w:rPr>
                <w:rFonts w:ascii="Aptos" w:hAnsi="Aptos" w:eastAsia="Aptos"/>
                <w:b/>
                <w:color w:val="25324A"/>
                <w:sz w:val="18"/>
              </w:rPr>
              <w:t>Deputy DSL</w:t>
            </w:r>
          </w:p>
        </w:tc>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tcPr>
          <w:p>
            <w:r>
              <w:rPr>
                <w:rFonts w:ascii="Aptos" w:hAnsi="Aptos" w:eastAsia="Aptos"/>
                <w:b w:val="0"/>
                <w:color w:val="25324A"/>
                <w:sz w:val="18"/>
              </w:rPr>
              <w:t>Lizzie Grant – School Business Manager</w:t>
            </w:r>
          </w:p>
        </w:tc>
      </w:tr>
      <w:tr>
        <w:trPr>
          <w:cantSplit/>
          <w:cantSplit/>
        </w:trPr>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shd w:fill="F4F5F8"/>
          </w:tcPr>
          <w:p>
            <w:r>
              <w:rPr>
                <w:rFonts w:ascii="Aptos" w:hAnsi="Aptos" w:eastAsia="Aptos"/>
                <w:b/>
                <w:color w:val="25324A"/>
                <w:sz w:val="18"/>
              </w:rPr>
              <w:t>Safeguarding Governor</w:t>
            </w:r>
          </w:p>
        </w:tc>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tcPr>
          <w:p>
            <w:r>
              <w:rPr>
                <w:rFonts w:ascii="Aptos" w:hAnsi="Aptos" w:eastAsia="Aptos"/>
                <w:b w:val="0"/>
                <w:color w:val="25324A"/>
                <w:sz w:val="18"/>
              </w:rPr>
              <w:t>David Pimm</w:t>
            </w:r>
          </w:p>
        </w:tc>
      </w:tr>
      <w:tr>
        <w:trPr>
          <w:cantSplit/>
          <w:cantSplit/>
        </w:trPr>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shd w:fill="F4F5F8"/>
          </w:tcPr>
          <w:p>
            <w:r>
              <w:rPr>
                <w:rFonts w:ascii="Aptos" w:hAnsi="Aptos" w:eastAsia="Aptos"/>
                <w:b/>
                <w:color w:val="25324A"/>
                <w:sz w:val="18"/>
              </w:rPr>
              <w:t>Chair of Governors</w:t>
            </w:r>
          </w:p>
        </w:tc>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tcPr>
          <w:p>
            <w:r>
              <w:rPr>
                <w:rFonts w:ascii="Aptos" w:hAnsi="Aptos" w:eastAsia="Aptos"/>
                <w:b w:val="0"/>
                <w:color w:val="25324A"/>
                <w:sz w:val="18"/>
              </w:rPr>
              <w:t>Sarah Turner</w:t>
            </w:r>
          </w:p>
        </w:tc>
      </w:tr>
      <w:tr>
        <w:trPr>
          <w:cantSplit/>
          <w:cantSplit/>
        </w:trPr>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shd w:fill="F4F5F8"/>
          </w:tcPr>
          <w:p>
            <w:r>
              <w:rPr>
                <w:rFonts w:ascii="Aptos" w:hAnsi="Aptos" w:eastAsia="Aptos"/>
                <w:b/>
                <w:color w:val="25324A"/>
                <w:sz w:val="18"/>
              </w:rPr>
              <w:t>School contact</w:t>
            </w:r>
          </w:p>
        </w:tc>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tcPr>
          <w:p>
            <w:r>
              <w:rPr>
                <w:rFonts w:ascii="Aptos" w:hAnsi="Aptos" w:eastAsia="Aptos"/>
                <w:b w:val="0"/>
                <w:color w:val="25324A"/>
                <w:sz w:val="18"/>
              </w:rPr>
              <w:t>01279 813370 | office@manuden.essex.sch.uk</w:t>
            </w:r>
          </w:p>
        </w:tc>
      </w:tr>
    </w:tbl>
    <w:p>
      <w:pPr>
        <w:pStyle w:val="ManudenAlert"/>
      </w:pPr>
      <w:r>
        <w:t>IMMEDIATE DANGER: Call 999. A referral to Children’s Social Care or the police must not be delayed while waiting for the DSL.</w:t>
      </w:r>
    </w:p>
    <w:p>
      <w:pPr>
        <w:pStyle w:val="Heading2"/>
      </w:pPr>
      <w:r>
        <w:t>External safeguarding contacts – Essex</w:t>
      </w:r>
    </w:p>
    <w:tbl>
      <w:tblPr>
        <w:tblW w:type="auto" w:w="0"/>
        <w:jc w:val="center"/>
        <w:tblLayout w:type="fixed"/>
        <w:tblLook w:firstColumn="1" w:firstRow="1" w:lastColumn="0" w:lastRow="0" w:noHBand="0" w:noVBand="1" w:val="04A0"/>
      </w:tblPr>
      <w:tblGrid>
        <w:gridCol w:w="3168"/>
        <w:gridCol w:w="6192"/>
      </w:tblGrid>
      <w:tr>
        <w:trPr>
          <w:cantSplit/>
          <w:tblHeader w:val="true"/>
          <w:cantSplit/>
        </w:trPr>
        <w:tc>
          <w:tcPr>
            <w:tcW w:type="dxa" w:w="5083"/>
            <w:shd w:fill="3E2B8F"/>
            <w:tcBorders>
              <w:top w:val="single" w:sz="5" w:color="3E2B8F"/>
              <w:left w:val="single" w:sz="5" w:color="3E2B8F"/>
              <w:bottom w:val="single" w:sz="5" w:color="3E2B8F"/>
              <w:right w:val="single" w:sz="5" w:color="3E2B8F"/>
            </w:tcBorders>
            <w:tcMar>
              <w:top w:w="90" w:type="dxa"/>
              <w:start w:w="110" w:type="dxa"/>
              <w:bottom w:w="90" w:type="dxa"/>
              <w:end w:w="110" w:type="dxa"/>
            </w:tcMar>
          </w:tcPr>
          <w:p>
            <w:r>
              <w:rPr>
                <w:rFonts w:ascii="Aptos" w:hAnsi="Aptos" w:eastAsia="Aptos"/>
                <w:b/>
                <w:color w:val="FFFFFF"/>
                <w:sz w:val="18"/>
              </w:rPr>
              <w:t>Service</w:t>
            </w:r>
          </w:p>
        </w:tc>
        <w:tc>
          <w:tcPr>
            <w:tcW w:type="dxa" w:w="5083"/>
            <w:shd w:fill="3E2B8F"/>
            <w:tcBorders>
              <w:top w:val="single" w:sz="5" w:color="3E2B8F"/>
              <w:left w:val="single" w:sz="5" w:color="3E2B8F"/>
              <w:bottom w:val="single" w:sz="5" w:color="3E2B8F"/>
              <w:right w:val="single" w:sz="5" w:color="3E2B8F"/>
            </w:tcBorders>
            <w:tcMar>
              <w:top w:w="90" w:type="dxa"/>
              <w:start w:w="110" w:type="dxa"/>
              <w:bottom w:w="90" w:type="dxa"/>
              <w:end w:w="110" w:type="dxa"/>
            </w:tcMar>
          </w:tcPr>
          <w:p>
            <w:r>
              <w:rPr>
                <w:rFonts w:ascii="Aptos" w:hAnsi="Aptos" w:eastAsia="Aptos"/>
                <w:b/>
                <w:color w:val="FFFFFF"/>
                <w:sz w:val="18"/>
              </w:rPr>
              <w:t>Contact details</w:t>
            </w:r>
          </w:p>
        </w:tc>
      </w:tr>
      <w:tr>
        <w:trPr>
          <w:cantSplit/>
          <w:cantSplit/>
        </w:trPr>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shd w:fill="F4F5F8"/>
          </w:tcPr>
          <w:p>
            <w:r>
              <w:rPr>
                <w:rFonts w:ascii="Aptos" w:hAnsi="Aptos" w:eastAsia="Aptos"/>
                <w:b/>
                <w:color w:val="25324A"/>
                <w:sz w:val="18"/>
              </w:rPr>
              <w:t>Children and Families Hub</w:t>
            </w:r>
          </w:p>
        </w:tc>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tcPr>
          <w:p>
            <w:r>
              <w:rPr>
                <w:rFonts w:ascii="Aptos" w:hAnsi="Aptos" w:eastAsia="Aptos"/>
                <w:b w:val="0"/>
                <w:color w:val="25324A"/>
                <w:sz w:val="18"/>
              </w:rPr>
              <w:t>0345 603 7627 – ask for the Priority Line where an immediate safeguarding response is required. Out of hours: 0345 606 1212.</w:t>
            </w:r>
          </w:p>
        </w:tc>
      </w:tr>
      <w:tr>
        <w:trPr>
          <w:cantSplit/>
          <w:cantSplit/>
        </w:trPr>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shd w:fill="F4F5F8"/>
          </w:tcPr>
          <w:p>
            <w:r>
              <w:rPr>
                <w:rFonts w:ascii="Aptos" w:hAnsi="Aptos" w:eastAsia="Aptos"/>
                <w:b/>
                <w:color w:val="25324A"/>
                <w:sz w:val="18"/>
              </w:rPr>
              <w:t>Local Authority Designated Officer (LADO)</w:t>
            </w:r>
          </w:p>
        </w:tc>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tcPr>
          <w:p>
            <w:r>
              <w:rPr>
                <w:rFonts w:ascii="Aptos" w:hAnsi="Aptos" w:eastAsia="Aptos"/>
                <w:b w:val="0"/>
                <w:color w:val="25324A"/>
                <w:sz w:val="18"/>
              </w:rPr>
              <w:t>03330 139 797 | lado@essex.gov.uk – concerns or allegations about adults working or volunteering with children.</w:t>
            </w:r>
          </w:p>
        </w:tc>
      </w:tr>
      <w:tr>
        <w:trPr>
          <w:cantSplit/>
          <w:cantSplit/>
        </w:trPr>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shd w:fill="F4F5F8"/>
          </w:tcPr>
          <w:p>
            <w:r>
              <w:rPr>
                <w:rFonts w:ascii="Aptos" w:hAnsi="Aptos" w:eastAsia="Aptos"/>
                <w:b/>
                <w:color w:val="25324A"/>
                <w:sz w:val="18"/>
              </w:rPr>
              <w:t>Prevent advice – Eastern Region Counter-Terrorism Policing Team</w:t>
            </w:r>
          </w:p>
        </w:tc>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tcPr>
          <w:p>
            <w:r>
              <w:rPr>
                <w:rFonts w:ascii="Aptos" w:hAnsi="Aptos" w:eastAsia="Aptos"/>
                <w:b w:val="0"/>
                <w:color w:val="25324A"/>
                <w:sz w:val="18"/>
              </w:rPr>
              <w:t>01245 452 196 | prevent@essex.police.uk</w:t>
            </w:r>
          </w:p>
        </w:tc>
      </w:tr>
      <w:tr>
        <w:trPr>
          <w:cantSplit/>
          <w:cantSplit/>
        </w:trPr>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shd w:fill="F4F5F8"/>
          </w:tcPr>
          <w:p>
            <w:r>
              <w:rPr>
                <w:rFonts w:ascii="Aptos" w:hAnsi="Aptos" w:eastAsia="Aptos"/>
                <w:b/>
                <w:color w:val="25324A"/>
                <w:sz w:val="18"/>
              </w:rPr>
              <w:t>Police</w:t>
            </w:r>
          </w:p>
        </w:tc>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tcPr>
          <w:p>
            <w:r>
              <w:rPr>
                <w:rFonts w:ascii="Aptos" w:hAnsi="Aptos" w:eastAsia="Aptos"/>
                <w:b w:val="0"/>
                <w:color w:val="25324A"/>
                <w:sz w:val="18"/>
              </w:rPr>
              <w:t>999 in an emergency | 101 for non-emergency police matters</w:t>
            </w:r>
          </w:p>
        </w:tc>
      </w:tr>
      <w:tr>
        <w:trPr>
          <w:cantSplit/>
          <w:cantSplit/>
        </w:trPr>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shd w:fill="F4F5F8"/>
          </w:tcPr>
          <w:p>
            <w:r>
              <w:rPr>
                <w:rFonts w:ascii="Aptos" w:hAnsi="Aptos" w:eastAsia="Aptos"/>
                <w:b/>
                <w:color w:val="25324A"/>
                <w:sz w:val="18"/>
              </w:rPr>
              <w:t>NSPCC Whistleblowing Advice Line</w:t>
            </w:r>
          </w:p>
        </w:tc>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tcPr>
          <w:p>
            <w:r>
              <w:rPr>
                <w:rFonts w:ascii="Aptos" w:hAnsi="Aptos" w:eastAsia="Aptos"/>
                <w:b w:val="0"/>
                <w:color w:val="25324A"/>
                <w:sz w:val="18"/>
              </w:rPr>
              <w:t>0800 028 0285 | help@nspcc.org.uk</w:t>
            </w:r>
          </w:p>
        </w:tc>
      </w:tr>
    </w:tbl>
    <w:p>
      <w:pPr>
        <w:pStyle w:val="Heading1"/>
      </w:pPr>
      <w:r>
        <w:t>1. Purpose and Scope</w:t>
      </w:r>
    </w:p>
    <w:p>
      <w:r>
        <w:t>Manuden Primary School is committed to safeguarding and promoting the welfare of every child. Safeguarding is not the responsibility of one person or one team; it is a whole-school responsibility and is embedded in leadership, culture, curriculum, attendance, behaviour, SEND, online safety, recruitment, site security and day-to-day professional practice.</w:t>
      </w:r>
    </w:p>
    <w:p>
      <w:r>
        <w:t>This policy sets out the arrangements by which Manuden Primary School identifies concerns, provides or seeks help, protects children from harm, works with families and external agencies, and responds to concerns about adults working with children.</w:t>
      </w:r>
    </w:p>
    <w:p>
      <w:r>
        <w:t>The policy applies whenever the school has responsibility for pupils, including educational visits, school-led clubs and activities, and where safeguarding concerns arising outside school have an impact on a pupil’s welfare. It should be read alongside current statutory guidance. Where statutory or SET procedures change during the life of this policy, the current guidance takes precedence and the policy will be updated as soon as practicable.</w:t>
      </w:r>
    </w:p>
    <w:p>
      <w:pPr>
        <w:pStyle w:val="Heading1"/>
      </w:pPr>
      <w:r>
        <w:t>2. Legal Framework and Guidance</w:t>
      </w:r>
    </w:p>
    <w:p>
      <w:r>
        <w:t>This policy has been prepared with regard to the following legislation and statutory/local guidance:</w:t>
      </w:r>
    </w:p>
    <w:p>
      <w:pPr>
        <w:pStyle w:val="ListBullet"/>
      </w:pPr>
      <w:hyperlink r:id="rId11">
        <w:r>
          <w:rPr>
            <w:color w:val="2F5597"/>
            <w:u w:val="single"/>
            <w:rFonts w:ascii="Aptos" w:hAnsi="Aptos"/>
          </w:rPr>
          <w:t>Keeping Children Safe in Education 2026</w:t>
        </w:r>
      </w:hyperlink>
    </w:p>
    <w:p>
      <w:pPr>
        <w:pStyle w:val="ListBullet"/>
      </w:pPr>
      <w:hyperlink r:id="rId12">
        <w:r>
          <w:rPr>
            <w:color w:val="2F5597"/>
            <w:u w:val="single"/>
            <w:rFonts w:ascii="Aptos" w:hAnsi="Aptos"/>
          </w:rPr>
          <w:t>Working Together to Safeguard Children 2026</w:t>
        </w:r>
      </w:hyperlink>
    </w:p>
    <w:p>
      <w:pPr>
        <w:pStyle w:val="ListBullet"/>
      </w:pPr>
      <w:hyperlink r:id="rId13">
        <w:r>
          <w:rPr>
            <w:color w:val="2F5597"/>
            <w:u w:val="single"/>
            <w:rFonts w:ascii="Aptos" w:hAnsi="Aptos"/>
          </w:rPr>
          <w:t>SET Safeguarding and Child Protection Procedures 2026</w:t>
        </w:r>
      </w:hyperlink>
    </w:p>
    <w:p>
      <w:pPr>
        <w:pStyle w:val="ListBullet"/>
      </w:pPr>
      <w:hyperlink r:id="rId14">
        <w:r>
          <w:rPr>
            <w:color w:val="2F5597"/>
            <w:u w:val="single"/>
            <w:rFonts w:ascii="Aptos" w:hAnsi="Aptos"/>
          </w:rPr>
          <w:t>Children Act 1989</w:t>
        </w:r>
      </w:hyperlink>
    </w:p>
    <w:p>
      <w:pPr>
        <w:pStyle w:val="ListBullet"/>
      </w:pPr>
      <w:hyperlink r:id="rId15">
        <w:r>
          <w:rPr>
            <w:color w:val="2F5597"/>
            <w:u w:val="single"/>
            <w:rFonts w:ascii="Aptos" w:hAnsi="Aptos"/>
          </w:rPr>
          <w:t>Children Act 2004</w:t>
        </w:r>
      </w:hyperlink>
    </w:p>
    <w:p>
      <w:pPr>
        <w:pStyle w:val="ListBullet"/>
      </w:pPr>
      <w:hyperlink r:id="rId16">
        <w:r>
          <w:rPr>
            <w:color w:val="2F5597"/>
            <w:u w:val="single"/>
            <w:rFonts w:ascii="Aptos" w:hAnsi="Aptos"/>
          </w:rPr>
          <w:t>Children’s Wellbeing and Schools Act 2026</w:t>
        </w:r>
      </w:hyperlink>
    </w:p>
    <w:p>
      <w:pPr>
        <w:pStyle w:val="ListBullet"/>
      </w:pPr>
      <w:hyperlink r:id="rId17">
        <w:r>
          <w:rPr>
            <w:color w:val="2F5597"/>
            <w:u w:val="single"/>
            <w:rFonts w:ascii="Aptos" w:hAnsi="Aptos"/>
          </w:rPr>
          <w:t>Education Act 2002 – section 175</w:t>
        </w:r>
      </w:hyperlink>
    </w:p>
    <w:p>
      <w:pPr>
        <w:pStyle w:val="ListBullet"/>
      </w:pPr>
      <w:hyperlink r:id="rId18">
        <w:r>
          <w:rPr>
            <w:color w:val="2F5597"/>
            <w:u w:val="single"/>
            <w:rFonts w:ascii="Aptos" w:hAnsi="Aptos"/>
          </w:rPr>
          <w:t>Equality Act 2010</w:t>
        </w:r>
      </w:hyperlink>
    </w:p>
    <w:p>
      <w:pPr>
        <w:pStyle w:val="ListBullet"/>
      </w:pPr>
      <w:hyperlink r:id="rId19">
        <w:r>
          <w:rPr>
            <w:color w:val="2F5597"/>
            <w:u w:val="single"/>
            <w:rFonts w:ascii="Aptos" w:hAnsi="Aptos"/>
          </w:rPr>
          <w:t>Data Protection Act 2018, UK GDPR and Data (Use and Access) Act 2025</w:t>
        </w:r>
      </w:hyperlink>
    </w:p>
    <w:p>
      <w:pPr>
        <w:pStyle w:val="ListBullet"/>
      </w:pPr>
      <w:hyperlink r:id="rId20">
        <w:r>
          <w:rPr>
            <w:color w:val="2F5597"/>
            <w:u w:val="single"/>
            <w:rFonts w:ascii="Aptos" w:hAnsi="Aptos"/>
          </w:rPr>
          <w:t>Counter-Terrorism and Security Act 2015 and Prevent duty guidance</w:t>
        </w:r>
      </w:hyperlink>
    </w:p>
    <w:p>
      <w:pPr>
        <w:pStyle w:val="ListBullet"/>
      </w:pPr>
      <w:hyperlink r:id="rId21">
        <w:r>
          <w:rPr>
            <w:color w:val="2F5597"/>
            <w:u w:val="single"/>
            <w:rFonts w:ascii="Aptos" w:hAnsi="Aptos"/>
          </w:rPr>
          <w:t>Domestic Abuse Act 2021 and Operation Encompass statutory guidance</w:t>
        </w:r>
      </w:hyperlink>
    </w:p>
    <w:p>
      <w:pPr>
        <w:pStyle w:val="ListBullet"/>
      </w:pPr>
      <w:hyperlink r:id="rId22">
        <w:r>
          <w:rPr>
            <w:color w:val="2F5597"/>
            <w:u w:val="single"/>
            <w:rFonts w:ascii="Aptos" w:hAnsi="Aptos"/>
          </w:rPr>
          <w:t>Working Together to Improve School Attendance 2026</w:t>
        </w:r>
      </w:hyperlink>
    </w:p>
    <w:p>
      <w:pPr>
        <w:pStyle w:val="ListBullet"/>
      </w:pPr>
      <w:hyperlink r:id="rId23">
        <w:r>
          <w:rPr>
            <w:color w:val="2F5597"/>
            <w:u w:val="single"/>
            <w:rFonts w:ascii="Aptos" w:hAnsi="Aptos"/>
          </w:rPr>
          <w:t>Early Years Foundation Stage statutory framework</w:t>
        </w:r>
      </w:hyperlink>
    </w:p>
    <w:p>
      <w:pPr>
        <w:pStyle w:val="ListBullet"/>
      </w:pPr>
      <w:r>
        <w:t>Generative AI: product safety expectations (DfE, 2026)</w:t>
      </w:r>
    </w:p>
    <w:p>
      <w:pPr>
        <w:pStyle w:val="ListBullet"/>
      </w:pPr>
      <w:r>
        <w:t>School suspensions and permanent exclusions (DfE, 2026)</w:t>
      </w:r>
    </w:p>
    <w:p>
      <w:pPr>
        <w:pStyle w:val="ListBullet"/>
      </w:pPr>
      <w:r>
        <w:t>Meeting digital and technology standards in schools and colleges (DfE, 2026)</w:t>
      </w:r>
    </w:p>
    <w:p>
      <w:pPr>
        <w:pStyle w:val="ListBullet"/>
      </w:pPr>
      <w:r>
        <w:t>Restrictive interventions, including use of reasonable force in schools (DfE, 2026)</w:t>
      </w:r>
    </w:p>
    <w:p>
      <w:pPr>
        <w:pStyle w:val="ListBullet"/>
      </w:pPr>
      <w:r>
        <w:t>Mobile phones in schools (DfE, 2026)</w:t>
      </w:r>
    </w:p>
    <w:p>
      <w:pPr>
        <w:pStyle w:val="ListBullet"/>
      </w:pPr>
      <w:r>
        <w:t>Relationships Education, Relationships and Sex Education (RSE) and Health Education (DfE, 2025)</w:t>
      </w:r>
    </w:p>
    <w:p>
      <w:pPr>
        <w:pStyle w:val="ListBullet"/>
      </w:pPr>
      <w:r>
        <w:t>Children missing education: statutory guidance for local authorities and schools (DfE, 2025)</w:t>
      </w:r>
    </w:p>
    <w:p>
      <w:pPr>
        <w:pStyle w:val="ListBullet"/>
      </w:pPr>
      <w:r>
        <w:t>Behaviour in schools (DfE, 2024)</w:t>
      </w:r>
    </w:p>
    <w:p>
      <w:pPr>
        <w:pStyle w:val="ListBullet"/>
      </w:pPr>
      <w:r>
        <w:t>Information sharing advice for safeguarding practitioners (DfE, 2024)</w:t>
      </w:r>
    </w:p>
    <w:p>
      <w:pPr>
        <w:pStyle w:val="ListBullet"/>
      </w:pPr>
      <w:r>
        <w:t>Teaching online safety in schools (DfE, 2023)</w:t>
      </w:r>
    </w:p>
    <w:p>
      <w:pPr>
        <w:pStyle w:val="ListBullet"/>
      </w:pPr>
      <w:r>
        <w:t>Searching, screening and confiscation in schools (DfE, 2023)</w:t>
      </w:r>
    </w:p>
    <w:p>
      <w:pPr>
        <w:pStyle w:val="ListBullet"/>
      </w:pPr>
      <w:r>
        <w:t>Preventing and Tackling Bullying (DfE, 2017)</w:t>
      </w:r>
    </w:p>
    <w:p>
      <w:pPr>
        <w:pStyle w:val="ListBullet"/>
      </w:pPr>
      <w:r>
        <w:t>What to do if you're worried a child is being abused (HMG, 2015)</w:t>
      </w:r>
    </w:p>
    <w:p>
      <w:pPr>
        <w:pStyle w:val="ListBullet"/>
      </w:pPr>
      <w:r>
        <w:t>Early help and effective support (Essex Safeguarding Children Board, 2026)</w:t>
      </w:r>
    </w:p>
    <w:p>
      <w:pPr>
        <w:pStyle w:val="ListBullet"/>
      </w:pPr>
      <w:r>
        <w:t>Education Access Team – Children Missing Education / Home Education policy and practice (Essex County Council, 2023)</w:t>
      </w:r>
    </w:p>
    <w:p>
      <w:pPr>
        <w:pStyle w:val="ListBullet"/>
      </w:pPr>
      <w:r>
        <w:t>Crime and Policing Act 2026</w:t>
      </w:r>
    </w:p>
    <w:p>
      <w:pPr>
        <w:pStyle w:val="ListBullet"/>
      </w:pPr>
      <w:r>
        <w:t>Victims and Prisoners Act 2024</w:t>
      </w:r>
    </w:p>
    <w:p>
      <w:pPr>
        <w:pStyle w:val="ListBullet"/>
      </w:pPr>
      <w:r>
        <w:t>Children and Social Work Act 2017</w:t>
      </w:r>
    </w:p>
    <w:p>
      <w:pPr>
        <w:pStyle w:val="ListBullet"/>
      </w:pPr>
      <w:r>
        <w:t>Serious Crime Act 2015</w:t>
      </w:r>
    </w:p>
    <w:p>
      <w:pPr>
        <w:pStyle w:val="ListBullet"/>
      </w:pPr>
      <w:r>
        <w:t>Education (Pupil Registration) Regulations 2006</w:t>
      </w:r>
    </w:p>
    <w:p>
      <w:pPr>
        <w:pStyle w:val="ListBullet"/>
      </w:pPr>
      <w:r>
        <w:t>Sexual Offences Act 2003</w:t>
      </w:r>
    </w:p>
    <w:p>
      <w:pPr>
        <w:pStyle w:val="ListBullet"/>
      </w:pPr>
      <w:r>
        <w:t>Female Genital Mutilation Act 2003</w:t>
      </w:r>
    </w:p>
    <w:p>
      <w:r>
        <w:t>The Governing Body will ensure this statutory child protection policy is reviewed at least annually, made available publicly and implemented through effective systems, training and oversight.</w:t>
      </w:r>
    </w:p>
    <w:p>
      <w:pPr>
        <w:pStyle w:val="Heading1"/>
      </w:pPr>
      <w:r>
        <w:t>3. Definitions and Core Principles</w:t>
      </w:r>
    </w:p>
    <w:p>
      <w:pPr>
        <w:pStyle w:val="Heading2"/>
      </w:pPr>
      <w:r>
        <w:t>Safeguarding and child protection</w:t>
      </w:r>
    </w:p>
    <w:p>
      <w:r>
        <w:t>Safeguarding and promoting the welfare of children includes providing help and support when problems emerge; protecting children from maltreatment inside or outside the home, including online; preventing impairment of mental and physical health or development; ensuring safe and effective care; supporting children to grow up within their family network where this is safe and in their best interests; and taking action to enable children to have the best outcomes.</w:t>
      </w:r>
    </w:p>
    <w:p>
      <w:r>
        <w:t>Child protection is part of safeguarding. It is the activity undertaken to protect specific children who are suspected to be suffering, or likely to suffer, significant harm, including harm inside or outside the home and online.</w:t>
      </w:r>
    </w:p>
    <w:p>
      <w:pPr>
        <w:pStyle w:val="Heading2"/>
      </w:pPr>
      <w:r>
        <w:t>Our safeguarding principles</w:t>
      </w:r>
    </w:p>
    <w:p>
      <w:pPr>
        <w:pStyle w:val="ListBullet"/>
      </w:pPr>
      <w:r>
        <w:t>children’s welfare and best interests are paramount;</w:t>
      </w:r>
    </w:p>
    <w:p>
      <w:pPr>
        <w:pStyle w:val="ListBullet"/>
      </w:pPr>
      <w:r>
        <w:t>safeguarding practice is child-centred, anti-discriminatory and anti-racist;</w:t>
      </w:r>
    </w:p>
    <w:p>
      <w:pPr>
        <w:pStyle w:val="ListBullet"/>
      </w:pPr>
      <w:r>
        <w:t>children are listened to and taken seriously;</w:t>
      </w:r>
    </w:p>
    <w:p>
      <w:pPr>
        <w:pStyle w:val="ListBullet"/>
      </w:pPr>
      <w:r>
        <w:t>concerns are acted upon promptly – staff do not wait for proof;</w:t>
      </w:r>
    </w:p>
    <w:p>
      <w:pPr>
        <w:pStyle w:val="ListBullet"/>
      </w:pPr>
      <w:r>
        <w:t>no single practitioner holds the whole picture, so appropriate information is shared;</w:t>
      </w:r>
    </w:p>
    <w:p>
      <w:pPr>
        <w:pStyle w:val="ListBullet"/>
      </w:pPr>
      <w:r>
        <w:t>parents and carers are partners in safeguarding unless involving them would place a child at increased risk, impede a criminal investigation or be otherwise unsafe;</w:t>
      </w:r>
    </w:p>
    <w:p>
      <w:pPr>
        <w:pStyle w:val="ListBullet"/>
      </w:pPr>
      <w:r>
        <w:t>additional needs, disability, communication differences or behaviour must never prevent a child’s safeguarding needs being recognised;</w:t>
      </w:r>
    </w:p>
    <w:p>
      <w:pPr>
        <w:pStyle w:val="ListBullet"/>
      </w:pPr>
      <w:r>
        <w:t>professional curiosity and respectful challenge are expected where something does not feel right.</w:t>
      </w:r>
    </w:p>
    <w:p>
      <w:pPr>
        <w:pStyle w:val="Heading1"/>
      </w:pPr>
      <w:r>
        <w:t>4. Roles and Responsibilities</w:t>
      </w:r>
    </w:p>
    <w:p>
      <w:pPr>
        <w:pStyle w:val="Heading2"/>
      </w:pPr>
      <w:r>
        <w:t>The Governing Body</w:t>
      </w:r>
    </w:p>
    <w:p>
      <w:r>
        <w:t>The Governing Body has strategic responsibility for ensuring the school complies with its safeguarding duties. It will:</w:t>
      </w:r>
    </w:p>
    <w:p>
      <w:pPr>
        <w:pStyle w:val="ListBullet"/>
      </w:pPr>
      <w:r>
        <w:t>ensure effective child protection and safeguarding arrangements are in place and reviewed at least annually;</w:t>
      </w:r>
    </w:p>
    <w:p>
      <w:pPr>
        <w:pStyle w:val="ListBullet"/>
      </w:pPr>
      <w:r>
        <w:t>ensure the DSL has appropriate status, authority, time, funding, training, skills and experience to carry out the role;</w:t>
      </w:r>
    </w:p>
    <w:p>
      <w:pPr>
        <w:pStyle w:val="ListBullet"/>
      </w:pPr>
      <w:r>
        <w:t>ensure robust cover arrangements are in place whenever the DSL is unavailable;</w:t>
      </w:r>
    </w:p>
    <w:p>
      <w:pPr>
        <w:pStyle w:val="ListBullet"/>
      </w:pPr>
      <w:r>
        <w:t>ensure appropriate safeguarding and child protection training for staff and governors;</w:t>
      </w:r>
    </w:p>
    <w:p>
      <w:pPr>
        <w:pStyle w:val="ListBullet"/>
      </w:pPr>
      <w:r>
        <w:t>ensure safer recruitment, the Single Central Record and allegations/low-level-concerns arrangements are effective;</w:t>
      </w:r>
    </w:p>
    <w:p>
      <w:pPr>
        <w:pStyle w:val="ListBullet"/>
      </w:pPr>
      <w:r>
        <w:t>ensure appropriate filtering and monitoring systems are in place and their effectiveness is reviewed at least once each academic year;</w:t>
      </w:r>
    </w:p>
    <w:p>
      <w:pPr>
        <w:pStyle w:val="ListBullet"/>
      </w:pPr>
      <w:r>
        <w:t>ensure safeguarding arrangements for school premises, contractors, lettings and alternative provision are appropriate;</w:t>
      </w:r>
    </w:p>
    <w:p>
      <w:pPr>
        <w:pStyle w:val="ListBullet"/>
      </w:pPr>
      <w:r>
        <w:t>receive anonymised safeguarding information sufficient to provide support and challenge without compromising confidentiality.</w:t>
      </w:r>
    </w:p>
    <w:p>
      <w:pPr>
        <w:pStyle w:val="Heading2"/>
      </w:pPr>
      <w:r>
        <w:t>The Headteacher</w:t>
      </w:r>
    </w:p>
    <w:p>
      <w:r>
        <w:t>The Headteacher is responsible for ensuring this policy and associated procedures are implemented consistently, staff understand their duties, allegations and low-level concerns are managed appropriately, safeguarding resources are adequate, and the school maintains a culture in which concerns can be raised safely.</w:t>
      </w:r>
    </w:p>
    <w:p>
      <w:pPr>
        <w:pStyle w:val="Heading2"/>
      </w:pPr>
      <w:r>
        <w:t>The Designated Safeguarding Lead</w:t>
      </w:r>
    </w:p>
    <w:p>
      <w:r>
        <w:t>Phil Molyneux is the Designated Safeguarding Lead. The DSL has ultimate lead responsibility for child protection and safeguarding and this responsibility is not delegated, although activities may be undertaken by appropriately trained Deputy DSLs.</w:t>
      </w:r>
    </w:p>
    <w:p>
      <w:pPr>
        <w:pStyle w:val="ListBullet"/>
      </w:pPr>
      <w:r>
        <w:t>act as the main point of contact for safeguarding and child protection;</w:t>
      </w:r>
    </w:p>
    <w:p>
      <w:pPr>
        <w:pStyle w:val="ListBullet"/>
      </w:pPr>
      <w:r>
        <w:t>provide advice and support to staff and take the lead on referrals to Children’s Social Care, police, Prevent and other agencies as appropriate;</w:t>
      </w:r>
    </w:p>
    <w:p>
      <w:pPr>
        <w:pStyle w:val="ListBullet"/>
      </w:pPr>
      <w:r>
        <w:t>understand local threshold and SET procedures and support access to Family Help and statutory services;</w:t>
      </w:r>
    </w:p>
    <w:p>
      <w:pPr>
        <w:pStyle w:val="ListBullet"/>
      </w:pPr>
      <w:r>
        <w:t>maintain accurate, secure and up-to-date child protection records;</w:t>
      </w:r>
    </w:p>
    <w:p>
      <w:pPr>
        <w:pStyle w:val="ListBullet"/>
      </w:pPr>
      <w:r>
        <w:t>ensure child protection files are transferred securely and promptly when pupils move school;</w:t>
      </w:r>
    </w:p>
    <w:p>
      <w:pPr>
        <w:pStyle w:val="ListBullet"/>
      </w:pPr>
      <w:r>
        <w:t>work with the Headteacher, SENCO, attendance lead, mental health leads and other staff to build a full safeguarding picture;</w:t>
      </w:r>
    </w:p>
    <w:p>
      <w:pPr>
        <w:pStyle w:val="ListBullet"/>
      </w:pPr>
      <w:r>
        <w:t>lead or contribute to staff safeguarding training and regular updates;</w:t>
      </w:r>
    </w:p>
    <w:p>
      <w:pPr>
        <w:pStyle w:val="ListBullet"/>
      </w:pPr>
      <w:r>
        <w:t>oversee online safeguarding, including contributing to filtering and monitoring reviews;</w:t>
      </w:r>
    </w:p>
    <w:p>
      <w:pPr>
        <w:pStyle w:val="ListBullet"/>
      </w:pPr>
      <w:r>
        <w:t>ensure the child’s voice and lived experience are considered in safeguarding decisions;</w:t>
      </w:r>
    </w:p>
    <w:p>
      <w:pPr>
        <w:pStyle w:val="ListBullet"/>
      </w:pPr>
      <w:r>
        <w:t>support and advise staff involved in safeguarding cases and promote appropriate professional challenge.</w:t>
      </w:r>
    </w:p>
    <w:p>
      <w:pPr>
        <w:pStyle w:val="Heading2"/>
      </w:pPr>
      <w:r>
        <w:t>Deputy Designated Safeguarding Leads</w:t>
      </w:r>
    </w:p>
    <w:p>
      <w:r>
        <w:t>Josh Chesterman, Eve Reynolds and Lizzie Grant are Deputy DSLs. Deputies will be trained to the same standard required for the DSL role and may undertake safeguarding activities delegated by the DSL. The DSL retains ultimate lead responsibility.</w:t>
      </w:r>
    </w:p>
    <w:p>
      <w:r>
        <w:t>During term time, the DSL or a Deputy DSL will be available during school hours. The school will maintain robust cover arrangements for illness, leave, educational visits and other times when the DSL is not on site, so safeguarding activity does not break down.</w:t>
      </w:r>
    </w:p>
    <w:p>
      <w:pPr>
        <w:pStyle w:val="Heading2"/>
      </w:pPr>
      <w:r>
        <w:t>All staff</w:t>
      </w:r>
    </w:p>
    <w:p>
      <w:r>
        <w:t>Every member of staff is responsible for safeguarding children. Staff must know the school’s reporting route, act on concerns without delay and be prepared to support Children’s Social Care and other agencies following a referral. Staff must not assume that a colleague or another professional will take action that may be critical to keeping a child safe. Staff will recognise that prejudice-based harm, including racism, faith-based prejudice and other forms of discrimination, can affect a child’s welfare, wellbeing, mental health and willingness to seek help and may require a safeguarding response.</w:t>
      </w:r>
    </w:p>
    <w:p>
      <w:pPr>
        <w:pStyle w:val="Heading1"/>
      </w:pPr>
      <w:r>
        <w:t>5. Safeguarding Culture, Pupil Voice and Curriculum</w:t>
      </w:r>
    </w:p>
    <w:p>
      <w:r>
        <w:t>Manuden will maintain a culture in which pupils know that adults will listen, take them seriously and act. Children will be taught, in an age-appropriate way, about healthy relationships, boundaries, consent, respectful behaviour, online safety, trusted adults and how to seek help.</w:t>
      </w:r>
    </w:p>
    <w:p>
      <w:pPr>
        <w:pStyle w:val="ListBullet"/>
      </w:pPr>
      <w:r>
        <w:t>pupils will have more than one route to raise a concern;</w:t>
      </w:r>
    </w:p>
    <w:p>
      <w:pPr>
        <w:pStyle w:val="ListBullet"/>
      </w:pPr>
      <w:r>
        <w:t>staff will be alert to children who communicate distress through behaviour rather than words;</w:t>
      </w:r>
    </w:p>
    <w:p>
      <w:pPr>
        <w:pStyle w:val="ListBullet"/>
      </w:pPr>
      <w:r>
        <w:t>children with SEND or communication needs will be offered reasonable adjustments and appropriate communication support;</w:t>
      </w:r>
    </w:p>
    <w:p>
      <w:pPr>
        <w:pStyle w:val="ListBullet"/>
      </w:pPr>
      <w:r>
        <w:t>pupil voice, safeguarding records, attendance information and behaviour patterns will inform the school’s evaluation of safeguarding culture;</w:t>
      </w:r>
    </w:p>
    <w:p>
      <w:pPr>
        <w:pStyle w:val="ListBullet"/>
      </w:pPr>
      <w:r>
        <w:t>victim-blaming language and discriminatory or misogynistic attitudes will be challenged.</w:t>
      </w:r>
    </w:p>
    <w:p>
      <w:pPr>
        <w:pStyle w:val="Heading1"/>
      </w:pPr>
      <w:r>
        <w:t>6. Staff Induction, KCSIE and Training</w:t>
      </w:r>
    </w:p>
    <w:p>
      <w:r>
        <w:t>All staff, including those who do not work directly with children, will read Keeping Children Safe in Education 2026 Part One in full and will be given sufficient time and support to understand it. Staff will confirm that they have read and understood the required guidance. School leaders and staff who work directly with children will also read the Annex to Part One, which contains important additional information about specific forms of abuse, exploitation and safeguarding issues.</w:t>
      </w:r>
    </w:p>
    <w:p>
      <w:r>
        <w:t>At induction, staff will receive information about:</w:t>
      </w:r>
    </w:p>
    <w:p>
      <w:pPr>
        <w:pStyle w:val="ListBullet"/>
      </w:pPr>
      <w:r>
        <w:t>the identity and role of the DSL and Deputy DSLs;</w:t>
      </w:r>
    </w:p>
    <w:p>
      <w:pPr>
        <w:pStyle w:val="ListBullet"/>
      </w:pPr>
      <w:r>
        <w:t>this Child Protection and Safeguarding Policy;</w:t>
      </w:r>
    </w:p>
    <w:p>
      <w:pPr>
        <w:pStyle w:val="ListBullet"/>
      </w:pPr>
      <w:r>
        <w:t>the Staff Code of Conduct, including professional boundaries and low-level concerns;</w:t>
      </w:r>
    </w:p>
    <w:p>
      <w:pPr>
        <w:pStyle w:val="ListBullet"/>
      </w:pPr>
      <w:r>
        <w:t>the Behaviour Policy and the school’s approach to child-on-child abuse;</w:t>
      </w:r>
    </w:p>
    <w:p>
      <w:pPr>
        <w:pStyle w:val="ListBullet"/>
      </w:pPr>
      <w:r>
        <w:t>the Online Safety Policy, filtering and monitoring arrangements and how to report technical or safeguarding concerns;</w:t>
      </w:r>
    </w:p>
    <w:p>
      <w:pPr>
        <w:pStyle w:val="ListBullet"/>
      </w:pPr>
      <w:r>
        <w:t>the Attendance Policy and the safeguarding significance of absence from education;</w:t>
      </w:r>
    </w:p>
    <w:p>
      <w:pPr>
        <w:pStyle w:val="ListBullet"/>
      </w:pPr>
      <w:r>
        <w:t>whistleblowing arrangements and how to raise concerns about adults;</w:t>
      </w:r>
    </w:p>
    <w:p>
      <w:pPr>
        <w:pStyle w:val="ListBullet"/>
      </w:pPr>
      <w:r>
        <w:t>local safeguarding and referral procedures relevant to their role.</w:t>
      </w:r>
    </w:p>
    <w:p>
      <w:r>
        <w:t>Safeguarding and child protection training will be refreshed in accordance with KCSIE and local expectations. Staff will receive safeguarding updates at least annually and more frequently where necessary. DSL and Deputy DSL training will be refreshed at least every two years, with knowledge and skills updated regularly between formal training events.</w:t>
      </w:r>
    </w:p>
    <w:p>
      <w:pPr>
        <w:pStyle w:val="Heading1"/>
      </w:pPr>
      <w:r>
        <w:t>7. Recognising Abuse, Neglect and Exploitation</w:t>
      </w:r>
    </w:p>
    <w:p>
      <w:r>
        <w:t>Staff do not need to diagnose abuse or establish proof before reporting a concern. They should notice changes, remain professionally curious and consider the child’s presentation in context. Abuse may occur in the home, in the community, in an institution or online, and may be perpetrated by adults or children. Children may also cause harm to other family members, including behaviour sometimes described as child-to-parent or caregiver abuse.</w:t>
      </w:r>
    </w:p>
    <w:p>
      <w:pPr>
        <w:pStyle w:val="Heading2"/>
      </w:pPr>
      <w:r>
        <w:t>Physical abuse</w:t>
      </w:r>
    </w:p>
    <w:p>
      <w:r>
        <w:t>Physical abuse may involve hitting, shaking, throwing, poisoning, burning or scalding, drowning, suffocating or otherwise causing physical harm. Physical harm may also be caused when a parent or carer fabricates the symptoms of, or deliberately induces, illness in a child.</w:t>
      </w:r>
    </w:p>
    <w:p>
      <w:pPr>
        <w:pStyle w:val="Heading2"/>
      </w:pPr>
      <w:r>
        <w:t>Emotional abuse</w:t>
      </w:r>
    </w:p>
    <w:p>
      <w:r>
        <w:t>Emotional abuse is persistent emotional maltreatment that causes severe and adverse effects on a child’s emotional development. It may involve conveying that a child is worthless or unloved, silencing or humiliating them, exposing them to serious bullying, inappropriate expectations, or seeing or hearing the ill-treatment of another person.</w:t>
      </w:r>
    </w:p>
    <w:p>
      <w:pPr>
        <w:pStyle w:val="Heading2"/>
      </w:pPr>
      <w:r>
        <w:t>Sexual abuse</w:t>
      </w:r>
    </w:p>
    <w:p>
      <w:r>
        <w:t>Sexual abuse involves forcing or enticing a child to take part in sexual activities, whether or not the child is aware of what is happening. It may involve physical contact or non-contact activity, including grooming, sexualised communication, viewing or creating sexual images, or using technology to facilitate abuse.</w:t>
      </w:r>
    </w:p>
    <w:p>
      <w:pPr>
        <w:pStyle w:val="Heading2"/>
      </w:pPr>
      <w:r>
        <w:t>Neglect</w:t>
      </w:r>
    </w:p>
    <w:p>
      <w:r>
        <w:t>Neglect is the persistent failure to meet a child’s basic physical and/or psychological needs, likely to result in serious impairment of health or development. It may include failure to provide adequate food, clothing, shelter, supervision, medical care, education or emotional responsiveness.</w:t>
      </w:r>
    </w:p>
    <w:p>
      <w:pPr>
        <w:pStyle w:val="Heading2"/>
      </w:pPr>
      <w:r>
        <w:t>Indicators</w:t>
      </w:r>
    </w:p>
    <w:p>
      <w:r>
        <w:t>Possible indicators include unexplained injuries, changes in behaviour or mood, fearfulness, sexualised behaviour, poor hygiene, hunger, developmental regression, unexplained gifts or money, concerning online activity, deterioration in attendance or attainment, repeated lateness, withdrawal, self-harm, substance use, or a child saying or implying that something has happened. No single indicator proves abuse and the absence of obvious signs does not mean a child is safe.</w:t>
      </w:r>
    </w:p>
    <w:p>
      <w:pPr>
        <w:pStyle w:val="Heading2"/>
      </w:pPr>
      <w:r>
        <w:t>Prejudice-based harm and discrimination</w:t>
      </w:r>
    </w:p>
    <w:p>
      <w:pPr/>
      <w:r>
        <w:t>Racism, faith-targeted abuse and other discriminatory behaviour can have a significant impact on a child’s welfare, wellbeing and sense of safety. A discriminatory incident does not need to be repeated before the school acts. Staff will challenge, record and respond to prejudice-based harm and will refer it to the DSL where it may indicate or contribute to a safeguarding concern.</w:t>
      </w:r>
    </w:p>
    <w:p>
      <w:pPr>
        <w:pStyle w:val="Heading1"/>
      </w:pPr>
      <w:r>
        <w:t>8. Responding to a Concern or Disclosure</w:t>
      </w:r>
    </w:p>
    <w:p>
      <w:pPr>
        <w:pStyle w:val="ManudenProcess"/>
      </w:pPr>
      <w:r>
        <w:t>NOTICE  →  LISTEN  →  MAKE SAFE  →  REPORT  →  RECORD  →  FOLLOW UP</w:t>
      </w:r>
    </w:p>
    <w:p>
      <w:r>
        <w:t>If a child discloses abuse or a member of staff becomes concerned about a child, the member of staff should:</w:t>
      </w:r>
    </w:p>
    <w:p>
      <w:pPr>
        <w:pStyle w:val="ListNumber"/>
      </w:pPr>
      <w:r>
        <w:t>listen calmly and take the child seriously;</w:t>
      </w:r>
    </w:p>
    <w:p>
      <w:pPr>
        <w:pStyle w:val="ListNumber"/>
      </w:pPr>
      <w:r>
        <w:t>allow the child to speak in their own words and use only open, non-leading questions where clarification is essential;</w:t>
      </w:r>
    </w:p>
    <w:p>
      <w:pPr>
        <w:pStyle w:val="ListNumber"/>
      </w:pPr>
      <w:r>
        <w:t>never promise confidentiality; explain that information will be shared only with people who need to help;</w:t>
      </w:r>
    </w:p>
    <w:p>
      <w:pPr>
        <w:pStyle w:val="ListNumber"/>
      </w:pPr>
      <w:r>
        <w:t>avoid investigating, confronting an alleged perpetrator or asking the child to repeat the account unnecessarily;</w:t>
      </w:r>
    </w:p>
    <w:p>
      <w:pPr>
        <w:pStyle w:val="ListNumber"/>
      </w:pPr>
      <w:r>
        <w:t>consider immediate safety and obtain urgent medical or police assistance where required;</w:t>
      </w:r>
    </w:p>
    <w:p>
      <w:pPr>
        <w:pStyle w:val="ListNumber"/>
      </w:pPr>
      <w:r>
        <w:t>report the concern to the DSL or a Deputy DSL without delay;</w:t>
      </w:r>
    </w:p>
    <w:p>
      <w:pPr>
        <w:pStyle w:val="ListNumber"/>
      </w:pPr>
      <w:r>
        <w:t>make a factual record as soon as possible, including the child’s own words, actions taken and any decision or outcome known.</w:t>
      </w:r>
    </w:p>
    <w:p>
      <w:pPr>
        <w:pStyle w:val="ManudenAlert"/>
      </w:pPr>
      <w:r>
        <w:t>A concern must be reported verbally to the DSL or Deputy DSL first where there is immediate risk. Entering information on CPOMS is not a substitute for urgent safeguarding action.</w:t>
      </w:r>
    </w:p>
    <w:p>
      <w:r>
        <w:t>Staff should not photograph injuries. A body map may be used to record the location and description of an injury where appropriate, without requiring the child to remove clothing unnecessarily.</w:t>
      </w:r>
    </w:p>
    <w:p>
      <w:pPr>
        <w:pStyle w:val="Heading1"/>
      </w:pPr>
      <w:r>
        <w:t>9. Reporting and Recording – CPOMS</w:t>
      </w:r>
    </w:p>
    <w:p>
      <w:r>
        <w:t>CPOMS is Manuden Primary School’s central electronic safeguarding record for pupil safeguarding and child protection concerns. Records are kept securely and access is limited according to role and safeguarding need-to-know.</w:t>
      </w:r>
    </w:p>
    <w:p>
      <w:r>
        <w:t>A safeguarding record should include:</w:t>
      </w:r>
    </w:p>
    <w:p>
      <w:pPr>
        <w:pStyle w:val="ListBullet"/>
      </w:pPr>
      <w:r>
        <w:t>a clear and factual summary of the concern;</w:t>
      </w:r>
    </w:p>
    <w:p>
      <w:pPr>
        <w:pStyle w:val="ListBullet"/>
      </w:pPr>
      <w:r>
        <w:t>the child’s own words where relevant;</w:t>
      </w:r>
    </w:p>
    <w:p>
      <w:pPr>
        <w:pStyle w:val="ListBullet"/>
      </w:pPr>
      <w:r>
        <w:t>the date, time and context;</w:t>
      </w:r>
    </w:p>
    <w:p>
      <w:pPr>
        <w:pStyle w:val="ListBullet"/>
      </w:pPr>
      <w:r>
        <w:t>people involved and witnesses where known;</w:t>
      </w:r>
    </w:p>
    <w:p>
      <w:pPr>
        <w:pStyle w:val="ListBullet"/>
      </w:pPr>
      <w:r>
        <w:t>actions taken and by whom;</w:t>
      </w:r>
    </w:p>
    <w:p>
      <w:pPr>
        <w:pStyle w:val="ListBullet"/>
      </w:pPr>
      <w:r>
        <w:t>decisions made and the rationale for those decisions;</w:t>
      </w:r>
    </w:p>
    <w:p>
      <w:pPr>
        <w:pStyle w:val="ListBullet"/>
      </w:pPr>
      <w:r>
        <w:t>referrals, consultations or information shared;</w:t>
      </w:r>
    </w:p>
    <w:p>
      <w:pPr>
        <w:pStyle w:val="ListBullet"/>
      </w:pPr>
      <w:r>
        <w:t>follow-up action and outcomes where known.</w:t>
      </w:r>
    </w:p>
    <w:p>
      <w:r>
        <w:t>Opinions should be clearly distinguished from facts. Records must avoid unnecessary judgemental language. Staff must not keep private or parallel safeguarding notes outside agreed school systems.</w:t>
      </w:r>
    </w:p>
    <w:p>
      <w:r>
        <w:t>If CPOMS is temporarily unavailable, the concern must still be reported immediately and a secure temporary written record provided to the DSL. The record will be transferred to CPOMS as soon as the system is available and the temporary copy disposed of securely.</w:t>
      </w:r>
    </w:p>
    <w:p>
      <w:pPr>
        <w:pStyle w:val="Heading1"/>
      </w:pPr>
      <w:r>
        <w:t>10. What Happens After a Concern Is Reported</w:t>
      </w:r>
    </w:p>
    <w:p>
      <w:r>
        <w:t>The DSL or Deputy DSL will consider the concern in context, review existing information and decide the appropriate next action. This may include:</w:t>
      </w:r>
    </w:p>
    <w:p>
      <w:pPr>
        <w:pStyle w:val="ListBullet"/>
      </w:pPr>
      <w:r>
        <w:t>continuing school support and monitoring;</w:t>
      </w:r>
    </w:p>
    <w:p>
      <w:pPr>
        <w:pStyle w:val="ListBullet"/>
      </w:pPr>
      <w:r>
        <w:t>speaking with the child and, where appropriate, parents or carers;</w:t>
      </w:r>
    </w:p>
    <w:p>
      <w:pPr>
        <w:pStyle w:val="ListBullet"/>
      </w:pPr>
      <w:r>
        <w:t>seeking advice or consultation from the Essex Children and Families Hub;</w:t>
      </w:r>
    </w:p>
    <w:p>
      <w:pPr>
        <w:pStyle w:val="ListBullet"/>
      </w:pPr>
      <w:r>
        <w:t>initiating or coordinating Family Help / early support;</w:t>
      </w:r>
    </w:p>
    <w:p>
      <w:pPr>
        <w:pStyle w:val="ListBullet"/>
      </w:pPr>
      <w:r>
        <w:t>making a referral to local authority Children’s Social Care under section 17 or section 47 of the Children Act 1989;</w:t>
      </w:r>
    </w:p>
    <w:p>
      <w:pPr>
        <w:pStyle w:val="ListBullet"/>
      </w:pPr>
      <w:r>
        <w:t>contacting police, health services, Prevent or another specialist agency;</w:t>
      </w:r>
    </w:p>
    <w:p>
      <w:pPr>
        <w:pStyle w:val="ListBullet"/>
      </w:pPr>
      <w:r>
        <w:t>taking immediate protective action within school.</w:t>
      </w:r>
    </w:p>
    <w:p>
      <w:r>
        <w:t>The school will not wait for a concern to become more serious where intervention is needed. Staff should expect to support social care and other agencies following a referral and should continue to monitor the child unless advised otherwise.</w:t>
      </w:r>
    </w:p>
    <w:p>
      <w:pPr>
        <w:pStyle w:val="Heading2"/>
      </w:pPr>
      <w:r>
        <w:t>If the DSL is unavailable</w:t>
      </w:r>
    </w:p>
    <w:p>
      <w:r>
        <w:t>A Deputy DSL should be contacted. If no DSL or Deputy DSL is available and the matter cannot wait, the staff member must take action themselves, including contacting Children’s Social Care or police where appropriate, and inform the DSL as soon as possible afterwards.</w:t>
      </w:r>
    </w:p>
    <w:p>
      <w:pPr>
        <w:pStyle w:val="Heading2"/>
      </w:pPr>
      <w:r>
        <w:t>If a referral does not lead to the response expected</w:t>
      </w:r>
    </w:p>
    <w:p>
      <w:r>
        <w:t>The school will follow the SET escalation and professional disagreement procedures where it remains concerned that a child is not receiving an appropriate safeguarding response. Staff should respectfully challenge decisions and continue to escalate when necessary in the child’s best interests.</w:t>
      </w:r>
    </w:p>
    <w:p>
      <w:pPr>
        <w:pStyle w:val="Heading1"/>
      </w:pPr>
      <w:r>
        <w:t>11. Working With Parents and Carers</w:t>
      </w:r>
    </w:p>
    <w:p>
      <w:r>
        <w:t>The school seeks to work openly and constructively with parents and carers. In most cases, parents will be informed of safeguarding concerns and involved in plans for support.</w:t>
      </w:r>
    </w:p>
    <w:p>
      <w:r>
        <w:t>However, the school may share information or make a referral without prior parental knowledge or consent where seeking consent would place a child or another person at increased risk, prejudice an investigation, lead to evidence being lost, or otherwise conflict with the child’s best interests or a legal safeguarding duty.</w:t>
      </w:r>
    </w:p>
    <w:p>
      <w:r>
        <w:t>A refusal of consent does not prevent information being shared where there is a lawful safeguarding basis to do so. The reasons for decisions about parental involvement will be recorded.</w:t>
      </w:r>
    </w:p>
    <w:p>
      <w:pPr>
        <w:pStyle w:val="Heading1"/>
      </w:pPr>
      <w:r>
        <w:t>12. Family Help and Early Support</w:t>
      </w:r>
    </w:p>
    <w:p>
      <w:r>
        <w:t>Children and families should receive help as soon as problems emerge. Staff will be alert to children who may benefit from Family Help or other early support, including children with emerging attendance concerns, young carers, children experiencing parental conflict or domestic abuse, families affected by substance misuse or mental ill-health, and children whose needs are placing increasing pressure on family life.</w:t>
      </w:r>
    </w:p>
    <w:p>
      <w:r>
        <w:t>Where Family Help is appropriate, the school will normally work with the family’s consent, agree clear outcomes and review whether support is effective. Where concerns reach a statutory safeguarding threshold, referral to Children’s Social Care will not be delayed by an early-help process.</w:t>
      </w:r>
    </w:p>
    <w:p>
      <w:pPr/>
      <w:r>
        <w:t>Staff will be familiar with the local process for community-based Family Help and the level of need at which support should be considered. This includes targeted early help, statutory support for children in need under section 17 of the Children Act 1989, child protection enquiries under section 47, and the wider statutory routes that may apply under sections 31 and 20. Abuse, neglect, exploitation, disability and other additional needs will be considered within the appropriate local threshold and referral process.</w:t>
      </w:r>
    </w:p>
    <w:p>
      <w:pPr>
        <w:pStyle w:val="Heading1"/>
      </w:pPr>
      <w:r>
        <w:t>13. Information Sharing and Confidentiality</w:t>
      </w:r>
    </w:p>
    <w:p>
      <w:r>
        <w:t>Effective safeguarding depends on appropriate and timely information sharing. Data protection law is not a barrier to sharing information when it is necessary and proportionate to safeguard a child. The school will comply with the information-sharing duty introduced by the Children’s Wellbeing and Schools Act 2026 where it applies and will have regard to current statutory guidance, KCSIE, Working Together and local safeguarding procedures.</w:t>
      </w:r>
    </w:p>
    <w:p>
      <w:pPr>
        <w:pStyle w:val="ListBullet"/>
      </w:pPr>
      <w:r>
        <w:t>information will be shared on a need-to-know basis and only to the extent required for safeguarding purposes;</w:t>
      </w:r>
    </w:p>
    <w:p>
      <w:pPr>
        <w:pStyle w:val="ListBullet"/>
      </w:pPr>
      <w:r>
        <w:t>the child’s safety and welfare will be the primary consideration;</w:t>
      </w:r>
    </w:p>
    <w:p>
      <w:pPr>
        <w:pStyle w:val="ListBullet"/>
      </w:pPr>
      <w:r>
        <w:t>staff will not promise absolute confidentiality;</w:t>
      </w:r>
    </w:p>
    <w:p>
      <w:pPr>
        <w:pStyle w:val="ListBullet"/>
      </w:pPr>
      <w:r>
        <w:t>decisions to share or not share information, and the reasons, will be recorded;</w:t>
      </w:r>
    </w:p>
    <w:p>
      <w:pPr>
        <w:pStyle w:val="ListBullet"/>
      </w:pPr>
      <w:r>
        <w:t>the school will respond appropriately to lawful requests from safeguarding partners and other agencies;</w:t>
      </w:r>
    </w:p>
    <w:p>
      <w:pPr>
        <w:pStyle w:val="ListBullet"/>
      </w:pPr>
      <w:r>
        <w:t>confidential safeguarding information will not be discussed casually or with parents, staff or pupils who do not need to know.</w:t>
      </w:r>
    </w:p>
    <w:p>
      <w:r>
        <w:t>Where there is uncertainty, staff should seek advice from the DSL or Data Protection Officer, but urgent safeguarding action must not be delayed solely because of uncertainty about data protection.</w:t>
      </w:r>
    </w:p>
    <w:p>
      <w:pPr>
        <w:pStyle w:val="Heading1"/>
      </w:pPr>
      <w:r>
        <w:t>14. Child Protection Records and Transfer</w:t>
      </w:r>
    </w:p>
    <w:p>
      <w:r>
        <w:t>Child protection records are maintained separately from the main educational record and are stored securely. The DSL is responsible for ensuring records are accurate, up to date and reviewed sufficiently to understand chronology, patterns, risk and outstanding actions.</w:t>
      </w:r>
    </w:p>
    <w:p>
      <w:r>
        <w:t>When a child moves school, the DSL will ensure the child protection file is transferred securely to the new setting as soon as possible and, for an in-year transfer, within five days. For a transfer at the start of a new term, it will be transferred within the first five days. Receipt will be confirmed.</w:t>
      </w:r>
    </w:p>
    <w:p>
      <w:r>
        <w:t>Where information is needed to support immediate safeguarding or risk management at the receiving school, the DSL will consider sharing relevant information in advance of the formal file transfer and, where appropriate, will speak directly with the receiving DSL.</w:t>
      </w:r>
    </w:p>
    <w:p>
      <w:pPr>
        <w:pStyle w:val="Heading1"/>
      </w:pPr>
      <w:r>
        <w:t>15. Children Who May Be Particularly Vulnerable</w:t>
      </w:r>
    </w:p>
    <w:p>
      <w:r>
        <w:t>Any child may need safeguarding support. Some circumstances can increase vulnerability or make harm harder to identify. Staff will take a contextual and individual approach and avoid assumptions. Staff will be particularly alert where a child has a disability, health or medical need; has SEND; is a young carer; has a mental-health need; shows early signs of abusive, violent or harmful behaviour; is frequently missing from education, home or care; has experienced repeated removals from class, suspensions, a part-time timetable or alternative provision; is at risk of exploitation, trafficking, modern slavery, radicalisation or serious violence; has a parent or carer in custody; lives with domestic abuse, substance misuse or adult mental ill-health; misuses alcohol or drugs; may be at risk of honour- or faith-based abuse; or is privately fostered.</w:t>
      </w:r>
    </w:p>
    <w:p>
      <w:pPr>
        <w:pStyle w:val="Heading2"/>
      </w:pPr>
      <w:r>
        <w:t>Children with SEND or disabilities</w:t>
      </w:r>
    </w:p>
    <w:p>
      <w:r>
        <w:t>Children with SEND or disabilities may face additional safeguarding challenges, including communication barriers, greater dependence on adults, peer isolation, difficulties recognising unsafe behaviour, and a risk that signs of abuse are incorrectly attributed to disability or behaviour. Reasonable adjustments will be made so children can communicate concerns and participate in safeguarding processes.</w:t>
      </w:r>
    </w:p>
    <w:p>
      <w:pPr>
        <w:pStyle w:val="Heading2"/>
      </w:pPr>
      <w:r>
        <w:t>Children with a social worker, looked-after and previously looked-after children</w:t>
      </w:r>
    </w:p>
    <w:p>
      <w:r>
        <w:t>The DSL will work closely with social workers, carers, the Designated Teacher and the Virtual School as appropriate. Relevant information about risk, education, attendance and wellbeing will be shared to support coordinated plans.</w:t>
      </w:r>
    </w:p>
    <w:p>
      <w:pPr>
        <w:pStyle w:val="Heading2"/>
      </w:pPr>
      <w:r>
        <w:t>Young carers</w:t>
      </w:r>
    </w:p>
    <w:p>
      <w:r>
        <w:t>Young carers may have additional responsibilities and pressures that affect wellbeing, attendance or safety. Staff will be alert to hidden caring roles and consider Family Help and appropriate external support.</w:t>
      </w:r>
    </w:p>
    <w:p>
      <w:pPr>
        <w:pStyle w:val="Heading2"/>
      </w:pPr>
      <w:r>
        <w:t>Children requiring mental health support</w:t>
      </w:r>
    </w:p>
    <w:p>
      <w:r>
        <w:t>Mental health difficulties can, in some cases, develop into safeguarding concerns and may also indicate that a child has suffered, or is at risk of suffering, abuse, neglect or exploitation. Staff are well placed to notice warning signs such as significant changes in behaviour, persistent sleep difficulties, withdrawal, loss of interest in usual activities, self-harm, an eating disorder, suicidal ideation or plans to end their life. Concerns must be escalated promptly to the DSL or a Deputy DSL.</w:t>
      </w:r>
    </w:p>
    <w:p>
      <w:pPr/>
      <w:r>
        <w:t>If a child is in immediate danger because of their mental health, staff should call 999 or arrange for the child to be taken immediately to A&amp;E by a parent/carer or other suitable person. Where urgent mental-health help is needed but the situation is not an emergency, NHS 111 online or 111 using the mental-health option should be used. Safeguarding recording and referral procedures must still be followed.</w:t>
      </w:r>
    </w:p>
    <w:p>
      <w:pPr>
        <w:pStyle w:val="Heading2"/>
      </w:pPr>
      <w:r>
        <w:t>Lesbian, gay or bisexual children</w:t>
      </w:r>
    </w:p>
    <w:p>
      <w:pPr/>
      <w:r>
        <w:t>Children who are lesbian, gay or bisexual may be targeted for bullying, prejudice or abuse. Staff will not make assumptions about a child’s identity and will respond to any safeguarding, discrimination or wellbeing concerns in a child-centred and proportionate way.</w:t>
      </w:r>
    </w:p>
    <w:p>
      <w:pPr>
        <w:pStyle w:val="Heading2"/>
      </w:pPr>
      <w:r>
        <w:t>Children who are questioning their gender</w:t>
      </w:r>
    </w:p>
    <w:p>
      <w:r>
        <w:t>Children who are questioning their gender may require sensitive and thoughtful support. The school will safeguard the child from bullying or discrimination, take time to understand the child’s wider needs and experiences, and follow the current statutory KCSIE framework. Staff will not initiate social transition. Requests for changes will be considered carefully by school leaders, with parents or carers involved unless there is a significant safeguarding reason not to do so, and with regard to the child’s best interests, age, primary-school context, equality duties and any relevant clinical advice.</w:t>
      </w:r>
    </w:p>
    <w:p>
      <w:pPr>
        <w:pStyle w:val="Heading1"/>
      </w:pPr>
      <w:r>
        <w:t>16. Attendance, Children Absent From Education and Children Missing Education</w:t>
      </w:r>
    </w:p>
    <w:p>
      <w:r>
        <w:t>Attendance is a safeguarding matter. Repeated or prolonged absence, unexplained absence, frequent lateness or patterns of absence can be an important warning sign of abuse, neglect, exploitation, mental-health difficulty or other unmet need.</w:t>
      </w:r>
    </w:p>
    <w:p>
      <w:pPr>
        <w:pStyle w:val="ListBullet"/>
      </w:pPr>
      <w:r>
        <w:t>the school will follow up unexplained absence promptly in accordance with the Attendance Policy;</w:t>
      </w:r>
    </w:p>
    <w:p>
      <w:pPr>
        <w:pStyle w:val="ListBullet"/>
      </w:pPr>
      <w:r>
        <w:t>safeguarding concerns will be escalated without waiting for an attendance threshold;</w:t>
      </w:r>
    </w:p>
    <w:p>
      <w:pPr>
        <w:pStyle w:val="ListBullet"/>
      </w:pPr>
      <w:r>
        <w:t>the DSL and attendance lead will share information where patterns may indicate risk;</w:t>
      </w:r>
    </w:p>
    <w:p>
      <w:pPr>
        <w:pStyle w:val="ListBullet"/>
      </w:pPr>
      <w:r>
        <w:t>where a child’s whereabouts cannot be established, the school will follow Essex Children Missing Education and safeguarding procedures;</w:t>
      </w:r>
    </w:p>
    <w:p>
      <w:pPr>
        <w:pStyle w:val="ListBullet"/>
      </w:pPr>
      <w:r>
        <w:t>a pupil will only be removed from roll where a statutory ground for deletion applies.</w:t>
      </w:r>
    </w:p>
    <w:p>
      <w:pPr>
        <w:pStyle w:val="Heading1"/>
      </w:pPr>
      <w:r>
        <w:t>17. Domestic Abuse and Operation Encompass</w:t>
      </w:r>
    </w:p>
    <w:p>
      <w:r>
        <w:t>Children can be victims of domestic abuse in their own right. They may see, hear or experience the effects of abuse or be directly involved in abusive behaviour within the family. Domestic abuse can include intimate-partner violence, abuse by family members, teenage relationship abuse and child-to-parent or caregiver abuse. It may include physical or sexual abuse, violent or threatening behaviour, controlling or coercive behaviour, and economic or psychological abuse, and can take place inside or outside the home.</w:t>
      </w:r>
    </w:p>
    <w:p>
      <w:r>
        <w:t>Manuden participates in the safeguarding response to Operation Encompass notifications. Information received following a police-attended domestic abuse incident will be managed confidentially, shared only with staff who need to know, recorded appropriately and used to consider what support the child may need in school.</w:t>
      </w:r>
    </w:p>
    <w:p>
      <w:pPr>
        <w:pStyle w:val="Heading1"/>
      </w:pPr>
      <w:r>
        <w:t>18. Child-on-Child Abuse and Harmful Sexual Behaviour</w:t>
      </w:r>
    </w:p>
    <w:p>
      <w:r>
        <w:t>Children can abuse other children. Child-on-child abuse can occur inside or outside school and online. It is a safeguarding issue for both the child who has experienced harm and the child alleged to have caused harm. The school will not minimise harmful behaviour as “banter”, “just having a laugh”, “part of growing up”, “boys being boys” or similar.</w:t>
      </w:r>
    </w:p>
    <w:p>
      <w:r>
        <w:t>Child-on-child abuse may include:</w:t>
      </w:r>
    </w:p>
    <w:p>
      <w:pPr>
        <w:pStyle w:val="ListBullet"/>
      </w:pPr>
      <w:r>
        <w:t>bullying, including cyberbullying, prejudice-based and discriminatory bullying;</w:t>
      </w:r>
    </w:p>
    <w:p>
      <w:pPr>
        <w:pStyle w:val="ListBullet"/>
      </w:pPr>
      <w:r>
        <w:t>abuse in intimate personal relationships between children;</w:t>
      </w:r>
    </w:p>
    <w:p>
      <w:pPr>
        <w:pStyle w:val="ListBullet"/>
      </w:pPr>
      <w:r>
        <w:t>physical abuse such as hitting, kicking, biting or hair pulling, including serious physical assault or harm, or a threat of harm involving a weapon;</w:t>
      </w:r>
    </w:p>
    <w:p>
      <w:pPr>
        <w:pStyle w:val="ListBullet"/>
      </w:pPr>
      <w:r>
        <w:t>sexual violence and sexual harassment;</w:t>
      </w:r>
    </w:p>
    <w:p>
      <w:pPr>
        <w:pStyle w:val="ListBullet"/>
      </w:pPr>
      <w:r>
        <w:t>causing someone to engage in sexual activity without consent;</w:t>
      </w:r>
    </w:p>
    <w:p>
      <w:pPr>
        <w:pStyle w:val="ListBullet"/>
      </w:pPr>
      <w:r>
        <w:t>consensual or non-consensual sharing of nude or semi-nude images, including digitally altered or AI-generated sexual imagery;</w:t>
      </w:r>
    </w:p>
    <w:p>
      <w:pPr>
        <w:pStyle w:val="ListBullet"/>
      </w:pPr>
      <w:r>
        <w:t>upskirting;</w:t>
      </w:r>
    </w:p>
    <w:p>
      <w:pPr>
        <w:pStyle w:val="ListBullet"/>
      </w:pPr>
      <w:r>
        <w:t>initiation or hazing-type behaviour;</w:t>
      </w:r>
    </w:p>
    <w:p>
      <w:pPr>
        <w:pStyle w:val="ListBullet"/>
      </w:pPr>
      <w:r>
        <w:t>harmful sexual behaviour, including behaviour connected with misogyny or sexualised peer culture.</w:t>
      </w:r>
    </w:p>
    <w:p>
      <w:r>
        <w:t>Reports will be handled sensitively, without victim-blaming, and with the needs and safety of all children considered. The DSL will decide whether a child-on-child incident is primarily a behaviour matter, a safeguarding concern requiring a risk assessment or safety plan, or requires referral to Children’s Social Care or police. Where sexual violence or sexual harassment is reported, KCSIE Part Five will be followed. Staff will also be alert to times when children may be at higher risk around the school day, including immediately after school.</w:t>
      </w:r>
    </w:p>
    <w:p>
      <w:r>
        <w:t>Children who have experienced harm will not be forced into restorative meetings or face-to-face discussions with the child alleged to have caused harm. Support for the child alleged to have caused harm does not remove accountability for behaviour. Timely, evidence-based support will be considered for children at risk of displaying further abusive or violent behaviour, alongside appropriate safety planning and consequences.</w:t>
      </w:r>
    </w:p>
    <w:p>
      <w:pPr>
        <w:pStyle w:val="Heading1"/>
      </w:pPr>
      <w:r>
        <w:t>19. Online Safeguarding, AI, Filtering and Monitoring</w:t>
      </w:r>
    </w:p>
    <w:p>
      <w:r>
        <w:t>Online safety is an integral part of safeguarding. The school’s detailed arrangements are set out in the Online Safety Policy, but the safeguarding response applies to online harms in the same way as harm occurring face-to-face.</w:t>
      </w:r>
    </w:p>
    <w:p>
      <w:r>
        <w:t>The school recognises the four broad areas of online risk: content, contact, conduct and commerce. Risks include grooming, online abuse, harmful content, sexual coercion, cyberbullying, scams, radicalisation, misinformation, AI-generated harmful content and the creation or sharing of deepfake or AI-generated intimate images.</w:t>
      </w:r>
    </w:p>
    <w:p>
      <w:pPr>
        <w:pStyle w:val="ListBullet"/>
      </w:pPr>
      <w:r>
        <w:t>appropriate filtering and monitoring systems will operate on school networks and managed devices;</w:t>
      </w:r>
    </w:p>
    <w:p>
      <w:pPr>
        <w:pStyle w:val="ListBullet"/>
      </w:pPr>
      <w:r>
        <w:t>the effectiveness of filtering and monitoring will be reviewed at least once each academic year and checks recorded;</w:t>
      </w:r>
    </w:p>
    <w:p>
      <w:pPr>
        <w:pStyle w:val="ListBullet"/>
      </w:pPr>
      <w:r>
        <w:t>staff will understand the filtering and monitoring arrangements and how to report over-blocking, under-blocking or concerning activity;</w:t>
      </w:r>
    </w:p>
    <w:p>
      <w:pPr>
        <w:pStyle w:val="ListBullet"/>
      </w:pPr>
      <w:r>
        <w:t>safeguarding concerns arising from monitoring will be referred to the DSL, not treated solely as IT issues;</w:t>
      </w:r>
    </w:p>
    <w:p>
      <w:pPr>
        <w:pStyle w:val="ListBullet"/>
      </w:pPr>
      <w:r>
        <w:t>personal, confidential or safeguarding information will only be entered into an AI system or online tool where that specific use has been authorised following appropriate data-protection, safeguarding and IT consideration; safeguarding information must never be entered into a tool unless explicitly authorised;</w:t>
      </w:r>
    </w:p>
    <w:p>
      <w:pPr>
        <w:pStyle w:val="ListBullet"/>
      </w:pPr>
      <w:r>
        <w:t>the school will maintain a mobile-phone-free environment for pupils in accordance with its Behaviour and Online Safety policies.</w:t>
      </w:r>
    </w:p>
    <w:p>
      <w:pPr>
        <w:pStyle w:val="Heading1"/>
      </w:pPr>
      <w:r>
        <w:t>20. Child Sexual Exploitation, Criminal Exploitation, County Lines and Serious Violence</w:t>
      </w:r>
    </w:p>
    <w:p>
      <w:r>
        <w:t>Child sexual exploitation and child criminal exploitation are forms of abuse. Criminal exploitation may include financial exploitation. Children may appear to participate willingly or may receive money, gifts, status, affection, protection or other perceived benefits, but exploitation can still be present where power imbalance, coercion, manipulation or vulnerability is involved. A child cannot consent to being exploited, abused or trafficked.</w:t>
      </w:r>
    </w:p>
    <w:p>
      <w:r>
        <w:t>Staff will be alert to indicators including unexplained money or possessions, changes in friendships, repeated absence, going missing, unexplained travel, injuries, substance misuse, carrying multiple phones, fearfulness, association with older individuals, sudden changes in behaviour or attainment, or involvement in offending.</w:t>
      </w:r>
    </w:p>
    <w:p>
      <w:r>
        <w:t>Concerns about serious violence, weapons, criminal exploitation or county lines will be reported to the DSL without delay. This includes concern that a child is carrying or using a weapon, or expressing an intention to do so. The DSL will assess risk to the child and to others, consider wider information and, where appropriate, put in place a safety and support plan and action to de-escalate peer conflict. Staff will be alert to increased risk where education has been disrupted, including through suspension, permanent exclusion or alternative provision, or where there is a history of offending. Where a child is in immediate danger or a crime is occurring, police will be contacted.</w:t>
      </w:r>
    </w:p>
    <w:p>
      <w:pPr>
        <w:pStyle w:val="Heading1"/>
      </w:pPr>
      <w:r>
        <w:t>21. So-called Honour-Based Abuse, FGM and Forced Marriage</w:t>
      </w:r>
    </w:p>
    <w:p>
      <w:r>
        <w:t>So-called honour-based abuse can include female genital mutilation (FGM), forced marriage and other practices used to control behaviour within families or communities. Such abuse is not justified by culture, faith, tradition or honour.</w:t>
      </w:r>
    </w:p>
    <w:p>
      <w:pPr>
        <w:pStyle w:val="Heading2"/>
      </w:pPr>
      <w:r>
        <w:t>Female genital mutilation</w:t>
      </w:r>
    </w:p>
    <w:p>
      <w:r>
        <w:t>Any concern that a girl may be at risk of FGM must be reported to the DSL immediately. Teachers have a separate statutory duty to report personally to the police where, in the course of their professional duties, they discover that FGM appears to have been carried out on a girl under 18. The teacher should also inform the DSL. This personal reporting duty cannot be delegated.</w:t>
      </w:r>
    </w:p>
    <w:p>
      <w:pPr>
        <w:pStyle w:val="Heading2"/>
      </w:pPr>
      <w:r>
        <w:t>Forced marriage</w:t>
      </w:r>
    </w:p>
    <w:p>
      <w:r>
        <w:t>It is illegal to force a person into marriage. Concerns about forced marriage must be referred to the DSL. Staff should not contact family members or attempt mediation where doing so may increase risk.</w:t>
      </w:r>
    </w:p>
    <w:p>
      <w:pPr>
        <w:pStyle w:val="Heading1"/>
      </w:pPr>
      <w:r>
        <w:t>22. Radicalisation and the Prevent Duty</w:t>
      </w:r>
    </w:p>
    <w:p>
      <w:r>
        <w:t>The school has due regard to the need to prevent people from being drawn into terrorism. Concerns about susceptibility to radicalisation are safeguarding concerns and will be considered through the same child-centred safeguarding framework.</w:t>
      </w:r>
    </w:p>
    <w:p>
      <w:r>
        <w:t>Staff should use the principles of Notice, Check, Share: notice concerning changes or indicators, check the concern with the DSL and relevant context, and share appropriately. Where Prevent-related concerns arise, the DSL will seek advice from the Eastern Region Counter-Terrorism Policing Team before making a referral where appropriate, unless immediate safeguarding or police action is required.</w:t>
      </w:r>
    </w:p>
    <w:p>
      <w:r>
        <w:t>The school will maintain an appropriate Prevent risk assessment, staff training and curriculum approach and will ensure visiting speakers or external contributors are suitable and appropriately supervised.</w:t>
      </w:r>
    </w:p>
    <w:p>
      <w:pPr>
        <w:pStyle w:val="Heading1"/>
      </w:pPr>
      <w:r>
        <w:t>23. Other Specific Safeguarding Concerns</w:t>
      </w:r>
    </w:p>
    <w:p>
      <w:pPr>
        <w:pStyle w:val="Heading2"/>
      </w:pPr>
      <w:r>
        <w:t>Modern slavery and trafficking</w:t>
      </w:r>
    </w:p>
    <w:p>
      <w:r>
        <w:t>Concerns that a child is being trafficked, exploited for labour, criminality, sexual exploitation or domestic servitude will be reported immediately to the DSL and referred to appropriate statutory agencies.</w:t>
      </w:r>
    </w:p>
    <w:p>
      <w:pPr>
        <w:pStyle w:val="Heading2"/>
      </w:pPr>
      <w:r>
        <w:t>Private fostering</w:t>
      </w:r>
    </w:p>
    <w:p>
      <w:r>
        <w:t>A private fostering arrangement may arise where a child under 16, or under 18 if disabled, lives for 28 days or more with someone who is not a parent, person with parental responsibility or close relative. Where staff become aware of a possible private fostering arrangement, they will inform the DSL so that the local authority can be notified as required.</w:t>
      </w:r>
    </w:p>
    <w:p>
      <w:pPr>
        <w:pStyle w:val="Heading2"/>
      </w:pPr>
      <w:r>
        <w:t>Homelessness and family instability</w:t>
      </w:r>
    </w:p>
    <w:p>
      <w:r>
        <w:t>Homelessness, temporary accommodation, parental imprisonment, substance misuse, serious parental mental ill-health, family breakdown and other social pressures may affect children’s welfare. These circumstances do not automatically indicate abuse, but staff will consider whether support or safeguarding action is needed. Where the school receives a notification that a child has been placed in temporary accommodation, the DSL or a Deputy DSL will consider promptly what safeguarding, pastoral, attendance or educational support may be required. Such a notification does not replace a referral to Children’s Social Care where a child has been harmed or is at risk of harm.</w:t>
      </w:r>
    </w:p>
    <w:p>
      <w:pPr>
        <w:pStyle w:val="Heading1"/>
      </w:pPr>
      <w:r>
        <w:t>24. Concerns and Allegations About Adults Working With Children</w:t>
      </w:r>
    </w:p>
    <w:p>
      <w:r>
        <w:t>Any safeguarding concern or allegation about a member of staff, supply teacher, volunteer, contractor or other adult working in or on behalf of the school must be reported immediately. Staff must not investigate the matter themselves.</w:t>
      </w:r>
    </w:p>
    <w:p>
      <w:pPr>
        <w:pStyle w:val="Heading2"/>
      </w:pPr>
      <w:r>
        <w:t>Harm threshold</w:t>
      </w:r>
    </w:p>
    <w:p>
      <w:r>
        <w:t>The harm-threshold procedure applies where an adult has:</w:t>
      </w:r>
    </w:p>
    <w:p>
      <w:pPr>
        <w:pStyle w:val="ListBullet"/>
      </w:pPr>
      <w:r>
        <w:t>behaved in a way that has harmed a child, or may have harmed a child;</w:t>
      </w:r>
    </w:p>
    <w:p>
      <w:pPr>
        <w:pStyle w:val="ListBullet"/>
      </w:pPr>
      <w:r>
        <w:t>possibly committed a criminal offence against or related to a child;</w:t>
      </w:r>
    </w:p>
    <w:p>
      <w:pPr>
        <w:pStyle w:val="ListBullet"/>
      </w:pPr>
      <w:r>
        <w:t>behaved towards a child or children in a way that indicates they may pose a risk of harm;</w:t>
      </w:r>
    </w:p>
    <w:p>
      <w:pPr>
        <w:pStyle w:val="ListBullet"/>
      </w:pPr>
      <w:r>
        <w:t>behaved, or may have behaved, in a way that indicates they may not be suitable to work with children.</w:t>
      </w:r>
    </w:p>
    <w:p>
      <w:r>
        <w:t>Concerns meeting or potentially meeting this threshold must be reported to the Headteacher, who will contact the Essex LADO without delay and within 24 hours. The school will take LADO advice before beginning any internal investigation that could compromise statutory enquiries.</w:t>
      </w:r>
    </w:p>
    <w:p>
      <w:pPr>
        <w:pStyle w:val="Heading2"/>
      </w:pPr>
      <w:r>
        <w:t>Concerns about the Headteacher / DSL</w:t>
      </w:r>
    </w:p>
    <w:p>
      <w:r>
        <w:t>Where the concern or allegation relates to Phil Molyneux as Headteacher and DSL, it must be reported to Sarah Turner, Chair of Governors, who will contact the LADO. If the concern relates to the Chair of Governors, the LADO should be contacted directly and local authority procedures followed. If there is an immediate risk or no appropriate internal route is available, the LADO, Children’s Social Care or police may be contacted directly.</w:t>
      </w:r>
    </w:p>
    <w:p>
      <w:pPr>
        <w:pStyle w:val="Heading2"/>
      </w:pPr>
      <w:r>
        <w:t>Supply staff and contractors</w:t>
      </w:r>
    </w:p>
    <w:p>
      <w:r>
        <w:t>Where a concern involves supply staff or a contractor, the school will follow KCSIE and LADO procedures and work with the employing agency or organisation. The school will not simply stop using a person’s services without ensuring safeguarding concerns are properly considered and referred where necessary.</w:t>
      </w:r>
    </w:p>
    <w:p>
      <w:pPr>
        <w:pStyle w:val="Heading1"/>
      </w:pPr>
      <w:r>
        <w:t>25. Low-Level Concerns About Adults</w:t>
      </w:r>
    </w:p>
    <w:p>
      <w:r>
        <w:t>A low-level concern is any concern, however small, that an adult working in or on behalf of the school may have acted in a way that is inconsistent with the Staff Code of Conduct or expected professional boundaries, but which does not meet the harm threshold. The term “low-level” does not mean the concern is insignificant.</w:t>
      </w:r>
    </w:p>
    <w:p>
      <w:r>
        <w:t>Examples may include being over-friendly with children, having favourites, taking photographs on a personal device, engaging with a child one-to-one in a secluded area without appropriate justification, using inappropriate language, or humiliating a child.</w:t>
      </w:r>
    </w:p>
    <w:p>
      <w:r>
        <w:t>All low-level concerns should be reported to the Headteacher. Concerns about the Headteacher should be reported to the Chair of Governors. Where there is doubt about whether the harm threshold is met, the Headteacher or Chair will consult the LADO.</w:t>
      </w:r>
    </w:p>
    <w:p>
      <w:pPr>
        <w:pStyle w:val="ListBullet"/>
      </w:pPr>
      <w:r>
        <w:t>all low-level concerns will be recorded in writing, including context and action taken;</w:t>
      </w:r>
    </w:p>
    <w:p>
      <w:pPr>
        <w:pStyle w:val="ListBullet"/>
      </w:pPr>
      <w:r>
        <w:t>records will be stored securely and separately from pupil safeguarding records;</w:t>
      </w:r>
    </w:p>
    <w:p>
      <w:pPr>
        <w:pStyle w:val="ListBullet"/>
      </w:pPr>
      <w:r>
        <w:t>records will be reviewed to identify patterns or repeated behaviour;</w:t>
      </w:r>
    </w:p>
    <w:p>
      <w:pPr>
        <w:pStyle w:val="ListBullet"/>
      </w:pPr>
      <w:r>
        <w:t>appropriate action may include advice, training, management action, disciplinary action or referral under the harm-threshold procedure;</w:t>
      </w:r>
    </w:p>
    <w:p>
      <w:pPr>
        <w:pStyle w:val="ListBullet"/>
      </w:pPr>
      <w:r>
        <w:t>low-level concerns about supply staff or contractors will be shared with their employer as appropriate;</w:t>
      </w:r>
    </w:p>
    <w:p>
      <w:pPr>
        <w:pStyle w:val="ListBullet"/>
      </w:pPr>
      <w:r>
        <w:t>staff are encouraged to self-refer where a situation could be misinterpreted or they believe they may have fallen below expected standards.</w:t>
      </w:r>
    </w:p>
    <w:p>
      <w:pPr>
        <w:pStyle w:val="Heading1"/>
      </w:pPr>
      <w:r>
        <w:t>26. Whistleblowing and Safeguarding Practice</w:t>
      </w:r>
    </w:p>
    <w:p>
      <w:r>
        <w:t>Staff must raise concerns about poor or unsafe safeguarding practice, failures to follow this policy, or attempts to conceal safeguarding information. Concerns should normally be raised through the school’s Whistleblowing Policy, the Headteacher, Chair of Governors or safeguarding governor as appropriate.</w:t>
      </w:r>
    </w:p>
    <w:p>
      <w:r>
        <w:t>If a member of staff feels unable to raise a concern internally or believes it has not been addressed, they may contact the NSPCC Whistleblowing Advice Line on 0800 028 0285 or another appropriate prescribed body.</w:t>
      </w:r>
    </w:p>
    <w:p>
      <w:pPr>
        <w:pStyle w:val="Heading1"/>
      </w:pPr>
      <w:r>
        <w:t>27. Safer Recruitment, Volunteers and the Single Central Record</w:t>
      </w:r>
    </w:p>
    <w:p>
      <w:r>
        <w:t>The school will follow KCSIE 2026 and relevant legislation for safer recruitment and suitability checks. Safeguarding will be considered throughout recruitment, not only at the DBS stage.</w:t>
      </w:r>
    </w:p>
    <w:p>
      <w:pPr>
        <w:pStyle w:val="ListBullet"/>
      </w:pPr>
      <w:r>
        <w:t>job information will make clear the school’s safeguarding commitment;</w:t>
      </w:r>
    </w:p>
    <w:p>
      <w:pPr>
        <w:pStyle w:val="ListBullet"/>
      </w:pPr>
      <w:r>
        <w:t>identity, references, right to work, qualifications and other role-specific checks will be completed as required;</w:t>
      </w:r>
    </w:p>
    <w:p>
      <w:pPr>
        <w:pStyle w:val="ListBullet"/>
      </w:pPr>
      <w:r>
        <w:t>enhanced DBS and children’s barred list checks will be obtained where the role and regulated-activity status require them;</w:t>
      </w:r>
    </w:p>
    <w:p>
      <w:pPr>
        <w:pStyle w:val="ListBullet"/>
      </w:pPr>
      <w:r>
        <w:t>the school will consider online searches of shortlisted candidates in accordance with KCSIE;</w:t>
      </w:r>
    </w:p>
    <w:p>
      <w:pPr>
        <w:pStyle w:val="ListBullet"/>
      </w:pPr>
      <w:r>
        <w:t>additional checks will be considered for individuals who have lived or worked overseas;</w:t>
      </w:r>
    </w:p>
    <w:p>
      <w:pPr>
        <w:pStyle w:val="ListBullet"/>
      </w:pPr>
      <w:r>
        <w:t>the school will maintain an accurate Single Central Record;</w:t>
      </w:r>
    </w:p>
    <w:p>
      <w:pPr>
        <w:pStyle w:val="ListBullet"/>
      </w:pPr>
      <w:r>
        <w:t>volunteers will be risk assessed and checked in accordance with the Volunteer Policy and the September 2026 regulated-activity requirements;</w:t>
      </w:r>
    </w:p>
    <w:p>
      <w:pPr>
        <w:pStyle w:val="ListBullet"/>
      </w:pPr>
      <w:r>
        <w:t>the school will make referrals to the Disclosure and Barring Service or Teaching Regulation Agency where the statutory criteria are met.</w:t>
      </w:r>
    </w:p>
    <w:p>
      <w:pPr>
        <w:pStyle w:val="Heading1"/>
      </w:pPr>
      <w:r>
        <w:t>28. Visitors, Contractors, Lettings and Use of School Premises</w:t>
      </w:r>
    </w:p>
    <w:p>
      <w:r>
        <w:t>Visitors and contractors will be managed according to the purpose of their visit, their level of contact with children and the checks completed. All visitors must follow signing-in, identification, supervision and site-security arrangements.</w:t>
      </w:r>
    </w:p>
    <w:p>
      <w:r>
        <w:t>Where school premises are hired or used by an external organisation for activities involving children, the school will seek assurance that appropriate safeguarding and child protection arrangements are in place. Safeguarding concerns arising from an organisation using school premises will be acted upon in accordance with KCSIE and local procedures, including referral to the LADO or Children’s Social Care where appropriate.</w:t>
      </w:r>
    </w:p>
    <w:p>
      <w:pPr>
        <w:pStyle w:val="Heading1"/>
      </w:pPr>
      <w:r>
        <w:t>29. Alternative Provision and Education Off Site</w:t>
      </w:r>
    </w:p>
    <w:p>
      <w:r>
        <w:t>Where Manuden arranges alternative provision for a pupil, the school remains responsible for safeguarding that pupil. Before and during a placement, the school will:</w:t>
      </w:r>
    </w:p>
    <w:p>
      <w:pPr>
        <w:pStyle w:val="ListBullet"/>
      </w:pPr>
      <w:r>
        <w:t>assess the suitability of the provision for the individual pupil;</w:t>
      </w:r>
    </w:p>
    <w:p>
      <w:pPr>
        <w:pStyle w:val="ListBullet"/>
      </w:pPr>
      <w:r>
        <w:t>obtain written assurance about appropriate safeguarding and recruitment checks;</w:t>
      </w:r>
    </w:p>
    <w:p>
      <w:pPr>
        <w:pStyle w:val="ListBullet"/>
      </w:pPr>
      <w:r>
        <w:t>ensure the provider will notify the school of relevant changes that may affect safeguarding;</w:t>
      </w:r>
    </w:p>
    <w:p>
      <w:pPr>
        <w:pStyle w:val="ListBullet"/>
      </w:pPr>
      <w:r>
        <w:t>monitor attendance, engagement, welfare and any emerging safeguarding concerns;</w:t>
      </w:r>
    </w:p>
    <w:p>
      <w:pPr>
        <w:pStyle w:val="ListBullet"/>
      </w:pPr>
      <w:r>
        <w:t>maintain regular communication with the pupil, family and provider;</w:t>
      </w:r>
    </w:p>
    <w:p>
      <w:pPr>
        <w:pStyle w:val="ListBullet"/>
      </w:pPr>
      <w:r>
        <w:t>review the placement and act promptly if it is no longer safe or suitable.</w:t>
      </w:r>
    </w:p>
    <w:p>
      <w:pPr>
        <w:pStyle w:val="Heading1"/>
      </w:pPr>
      <w:r>
        <w:t>30. Site Security, Collection and Educational Visits</w:t>
      </w:r>
    </w:p>
    <w:p>
      <w:r>
        <w:t>Safeguarding includes keeping children safe on site and during school activities. The school will maintain appropriate access controls, visitor procedures, supervision, collection arrangements and emergency plans.</w:t>
      </w:r>
    </w:p>
    <w:p>
      <w:r>
        <w:t>Educational visits will be planned and risk assessed in accordance with the school’s Educational Visits procedures. Safeguarding roles, communication routes and emergency contacts will be clear before departure. Adults supporting visits will be checked and supervised according to their role and regulated-activity status.</w:t>
      </w:r>
    </w:p>
    <w:p>
      <w:pPr>
        <w:pStyle w:val="Heading1"/>
      </w:pPr>
      <w:r>
        <w:t>31. Photography, Personal Devices and Professional Communication</w:t>
      </w:r>
    </w:p>
    <w:p>
      <w:r>
        <w:t>Staff, volunteers and contractors must follow the Staff Code of Conduct and Online Safety Policy. Personal devices must not be used to photograph, film or record pupils. Professional communication must use approved school systems. Staff must maintain appropriate boundaries and must not communicate privately with pupils through personal social media, messaging or email accounts.</w:t>
      </w:r>
    </w:p>
    <w:p>
      <w:pPr>
        <w:pStyle w:val="Heading1"/>
      </w:pPr>
      <w:r>
        <w:t>32. Safeguarding in the Early Years Foundation Stage</w:t>
      </w:r>
    </w:p>
    <w:p>
      <w:r>
        <w:t>Manuden’s Reception provision is subject to the safeguarding and welfare requirements of the Early Years Foundation Stage statutory framework as well as KCSIE. The school will ensure relevant EYFS suitability, supervision, staffing, paediatric first-aid, medicines, intimate-care, risk-assessment and record-keeping requirements are met and that safeguarding concerns follow the same DSL-led procedures set out in this policy.</w:t>
      </w:r>
    </w:p>
    <w:p>
      <w:r>
        <w:t>The school will also comply with the Disqualification under the Childcare Act requirements where applicable to staff working in relevant childcare provision.</w:t>
      </w:r>
    </w:p>
    <w:p>
      <w:pPr>
        <w:pStyle w:val="Heading1"/>
      </w:pPr>
      <w:r>
        <w:t>33. Monitoring, Quality Assurance and Governance</w:t>
      </w:r>
    </w:p>
    <w:p>
      <w:r>
        <w:t>The Headteacher and DSL will monitor the implementation of this policy through safeguarding records, case reviews, attendance information, pupil and staff voice, training records, filtering and monitoring reviews, recruitment checks and safeguarding audits.</w:t>
      </w:r>
    </w:p>
    <w:p>
      <w:r>
        <w:t>The safeguarding governor will provide support and challenge and will report to the Governing Body. Governor monitoring will focus on the effectiveness of systems rather than investigating individual cases. Confidentiality will be maintained.</w:t>
      </w:r>
    </w:p>
    <w:p>
      <w:r>
        <w:t>This policy will be reviewed at least annually and earlier where legislation, KCSIE, Working Together, SET procedures or local arrangements change, or where safeguarding practice identifies a need for amendment.</w:t>
      </w:r>
    </w:p>
    <w:p>
      <w:pPr>
        <w:pStyle w:val="Heading1"/>
      </w:pPr>
      <w:r>
        <w:t>Appendix 1 – Staff Quick Guide: What to Do if You Are Worried About a Child</w:t>
      </w:r>
    </w:p>
    <w:p>
      <w:pPr>
        <w:pStyle w:val="ManudenProcess"/>
      </w:pPr>
      <w:r>
        <w:t>CONCERN  →  MAKE SAFE  →  DSL / DEPUTY DSL  →  CPOMS  →  FOLLOW UP</w:t>
      </w:r>
    </w:p>
    <w:tbl>
      <w:tblPr>
        <w:tblW w:type="auto" w:w="0"/>
        <w:jc w:val="center"/>
        <w:tblLayout w:type="fixed"/>
        <w:tblLook w:firstColumn="1" w:firstRow="1" w:lastColumn="0" w:lastRow="0" w:noHBand="0" w:noVBand="1" w:val="04A0"/>
      </w:tblPr>
      <w:tblGrid>
        <w:gridCol w:w="3168"/>
        <w:gridCol w:w="6192"/>
      </w:tblGrid>
      <w:tr>
        <w:trPr>
          <w:cantSplit/>
          <w:tblHeader w:val="true"/>
          <w:cantSplit/>
        </w:trPr>
        <w:tc>
          <w:tcPr>
            <w:tcW w:type="dxa" w:w="5083"/>
            <w:shd w:fill="3E2B8F"/>
            <w:tcBorders>
              <w:top w:val="single" w:sz="5" w:color="3E2B8F"/>
              <w:left w:val="single" w:sz="5" w:color="3E2B8F"/>
              <w:bottom w:val="single" w:sz="5" w:color="3E2B8F"/>
              <w:right w:val="single" w:sz="5" w:color="3E2B8F"/>
            </w:tcBorders>
            <w:tcMar>
              <w:top w:w="90" w:type="dxa"/>
              <w:start w:w="110" w:type="dxa"/>
              <w:bottom w:w="90" w:type="dxa"/>
              <w:end w:w="110" w:type="dxa"/>
            </w:tcMar>
          </w:tcPr>
          <w:p>
            <w:r>
              <w:rPr>
                <w:rFonts w:ascii="Aptos" w:hAnsi="Aptos" w:eastAsia="Aptos"/>
                <w:b/>
                <w:color w:val="FFFFFF"/>
                <w:sz w:val="18"/>
              </w:rPr>
              <w:t>Step</w:t>
            </w:r>
          </w:p>
        </w:tc>
        <w:tc>
          <w:tcPr>
            <w:tcW w:type="dxa" w:w="5083"/>
            <w:shd w:fill="3E2B8F"/>
            <w:tcBorders>
              <w:top w:val="single" w:sz="5" w:color="3E2B8F"/>
              <w:left w:val="single" w:sz="5" w:color="3E2B8F"/>
              <w:bottom w:val="single" w:sz="5" w:color="3E2B8F"/>
              <w:right w:val="single" w:sz="5" w:color="3E2B8F"/>
            </w:tcBorders>
            <w:tcMar>
              <w:top w:w="90" w:type="dxa"/>
              <w:start w:w="110" w:type="dxa"/>
              <w:bottom w:w="90" w:type="dxa"/>
              <w:end w:w="110" w:type="dxa"/>
            </w:tcMar>
          </w:tcPr>
          <w:p>
            <w:r>
              <w:rPr>
                <w:rFonts w:ascii="Aptos" w:hAnsi="Aptos" w:eastAsia="Aptos"/>
                <w:b/>
                <w:color w:val="FFFFFF"/>
                <w:sz w:val="18"/>
              </w:rPr>
              <w:t>What staff must do</w:t>
            </w:r>
          </w:p>
        </w:tc>
      </w:tr>
      <w:tr>
        <w:trPr>
          <w:cantSplit/>
          <w:cantSplit/>
        </w:trPr>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shd w:fill="F4F5F8"/>
          </w:tcPr>
          <w:p>
            <w:r>
              <w:rPr>
                <w:rFonts w:ascii="Aptos" w:hAnsi="Aptos" w:eastAsia="Aptos"/>
                <w:b/>
                <w:color w:val="25324A"/>
                <w:sz w:val="18"/>
              </w:rPr>
              <w:t>1. NOTICE</w:t>
            </w:r>
          </w:p>
        </w:tc>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tcPr>
          <w:p>
            <w:r>
              <w:rPr>
                <w:rFonts w:ascii="Aptos" w:hAnsi="Aptos" w:eastAsia="Aptos"/>
                <w:b w:val="0"/>
                <w:color w:val="25324A"/>
                <w:sz w:val="18"/>
              </w:rPr>
              <w:t>A disclosure, injury, behaviour change, attendance pattern, online concern, information from another person or something that does not feel right.</w:t>
            </w:r>
          </w:p>
        </w:tc>
      </w:tr>
      <w:tr>
        <w:trPr>
          <w:cantSplit/>
          <w:cantSplit/>
        </w:trPr>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shd w:fill="F4F5F8"/>
          </w:tcPr>
          <w:p>
            <w:r>
              <w:rPr>
                <w:rFonts w:ascii="Aptos" w:hAnsi="Aptos" w:eastAsia="Aptos"/>
                <w:b/>
                <w:color w:val="25324A"/>
                <w:sz w:val="18"/>
              </w:rPr>
              <w:t>2. MAKE SAFE</w:t>
            </w:r>
          </w:p>
        </w:tc>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tcPr>
          <w:p>
            <w:r>
              <w:rPr>
                <w:rFonts w:ascii="Aptos" w:hAnsi="Aptos" w:eastAsia="Aptos"/>
                <w:b w:val="0"/>
                <w:color w:val="25324A"/>
                <w:sz w:val="18"/>
              </w:rPr>
              <w:t>If there is immediate danger call 999. Do not delay urgent action while trying to find the DSL.</w:t>
            </w:r>
          </w:p>
        </w:tc>
      </w:tr>
      <w:tr>
        <w:trPr>
          <w:cantSplit/>
          <w:cantSplit/>
        </w:trPr>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shd w:fill="F4F5F8"/>
          </w:tcPr>
          <w:p>
            <w:r>
              <w:rPr>
                <w:rFonts w:ascii="Aptos" w:hAnsi="Aptos" w:eastAsia="Aptos"/>
                <w:b/>
                <w:color w:val="25324A"/>
                <w:sz w:val="18"/>
              </w:rPr>
              <w:t>3. LISTEN</w:t>
            </w:r>
          </w:p>
        </w:tc>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tcPr>
          <w:p>
            <w:r>
              <w:rPr>
                <w:rFonts w:ascii="Aptos" w:hAnsi="Aptos" w:eastAsia="Aptos"/>
                <w:b w:val="0"/>
                <w:color w:val="25324A"/>
                <w:sz w:val="18"/>
              </w:rPr>
              <w:t>Stay calm. Take the child seriously. Do not promise confidentiality. Do not investigate or ask leading questions.</w:t>
            </w:r>
          </w:p>
        </w:tc>
      </w:tr>
      <w:tr>
        <w:trPr>
          <w:cantSplit/>
          <w:cantSplit/>
        </w:trPr>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shd w:fill="F4F5F8"/>
          </w:tcPr>
          <w:p>
            <w:r>
              <w:rPr>
                <w:rFonts w:ascii="Aptos" w:hAnsi="Aptos" w:eastAsia="Aptos"/>
                <w:b/>
                <w:color w:val="25324A"/>
                <w:sz w:val="18"/>
              </w:rPr>
              <w:t>4. REPORT</w:t>
            </w:r>
          </w:p>
        </w:tc>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tcPr>
          <w:p>
            <w:r>
              <w:rPr>
                <w:rFonts w:ascii="Aptos" w:hAnsi="Aptos" w:eastAsia="Aptos"/>
                <w:b w:val="0"/>
                <w:color w:val="25324A"/>
                <w:sz w:val="18"/>
              </w:rPr>
              <w:t>Tell Phil Molyneux (DSL) or Josh Chesterman / Eve Reynolds / Lizzie Grant (Deputy DSL) immediately.</w:t>
            </w:r>
          </w:p>
        </w:tc>
      </w:tr>
      <w:tr>
        <w:trPr>
          <w:cantSplit/>
          <w:cantSplit/>
        </w:trPr>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shd w:fill="F4F5F8"/>
          </w:tcPr>
          <w:p>
            <w:r>
              <w:rPr>
                <w:rFonts w:ascii="Aptos" w:hAnsi="Aptos" w:eastAsia="Aptos"/>
                <w:b/>
                <w:color w:val="25324A"/>
                <w:sz w:val="18"/>
              </w:rPr>
              <w:t>5. RECORD</w:t>
            </w:r>
          </w:p>
        </w:tc>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tcPr>
          <w:p>
            <w:r>
              <w:rPr>
                <w:rFonts w:ascii="Aptos" w:hAnsi="Aptos" w:eastAsia="Aptos"/>
                <w:b w:val="0"/>
                <w:color w:val="25324A"/>
                <w:sz w:val="18"/>
              </w:rPr>
              <w:t>Record factually on CPOMS as soon as possible. Include the child’s words, actions, decisions, rationale and outcomes known.</w:t>
            </w:r>
          </w:p>
        </w:tc>
      </w:tr>
      <w:tr>
        <w:trPr>
          <w:cantSplit/>
          <w:cantSplit/>
        </w:trPr>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shd w:fill="F4F5F8"/>
          </w:tcPr>
          <w:p>
            <w:r>
              <w:rPr>
                <w:rFonts w:ascii="Aptos" w:hAnsi="Aptos" w:eastAsia="Aptos"/>
                <w:b/>
                <w:color w:val="25324A"/>
                <w:sz w:val="18"/>
              </w:rPr>
              <w:t>6. FOLLOW UP</w:t>
            </w:r>
          </w:p>
        </w:tc>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tcPr>
          <w:p>
            <w:r>
              <w:rPr>
                <w:rFonts w:ascii="Aptos" w:hAnsi="Aptos" w:eastAsia="Aptos"/>
                <w:b w:val="0"/>
                <w:color w:val="25324A"/>
                <w:sz w:val="18"/>
              </w:rPr>
              <w:t>If you remain worried, check that action has been taken. Escalate if necessary. Never assume someone else has dealt with it.</w:t>
            </w:r>
          </w:p>
        </w:tc>
      </w:tr>
    </w:tbl>
    <w:p>
      <w:pPr>
        <w:pStyle w:val="ManudenAlert"/>
      </w:pPr>
      <w:r>
        <w:t>CONCERN ABOUT AN ADULT: Report immediately to the Headteacher. Concern about the Headteacher: report to Sarah Turner, Chair of Governors. Harm-threshold concerns require LADO advice.</w:t>
      </w:r>
    </w:p>
    <w:p>
      <w:pPr>
        <w:pStyle w:val="Heading1"/>
      </w:pPr>
      <w:r>
        <w:t>Appendix 2 – Key Safeguarding Contacts and Referral Routes</w:t>
      </w:r>
    </w:p>
    <w:tbl>
      <w:tblPr>
        <w:tblW w:type="auto" w:w="0"/>
        <w:jc w:val="center"/>
        <w:tblLayout w:type="fixed"/>
        <w:tblLook w:firstColumn="1" w:firstRow="1" w:lastColumn="0" w:lastRow="0" w:noHBand="0" w:noVBand="1" w:val="04A0"/>
      </w:tblPr>
      <w:tblGrid>
        <w:gridCol w:w="3168"/>
        <w:gridCol w:w="6192"/>
      </w:tblGrid>
      <w:tr>
        <w:trPr>
          <w:cantSplit/>
          <w:tblHeader w:val="true"/>
          <w:cantSplit/>
        </w:trPr>
        <w:tc>
          <w:tcPr>
            <w:tcW w:type="dxa" w:w="5083"/>
            <w:shd w:fill="3E2B8F"/>
            <w:tcBorders>
              <w:top w:val="single" w:sz="5" w:color="3E2B8F"/>
              <w:left w:val="single" w:sz="5" w:color="3E2B8F"/>
              <w:bottom w:val="single" w:sz="5" w:color="3E2B8F"/>
              <w:right w:val="single" w:sz="5" w:color="3E2B8F"/>
            </w:tcBorders>
            <w:tcMar>
              <w:top w:w="90" w:type="dxa"/>
              <w:start w:w="110" w:type="dxa"/>
              <w:bottom w:w="90" w:type="dxa"/>
              <w:end w:w="110" w:type="dxa"/>
            </w:tcMar>
          </w:tcPr>
          <w:p>
            <w:r>
              <w:rPr>
                <w:rFonts w:ascii="Aptos" w:hAnsi="Aptos" w:eastAsia="Aptos"/>
                <w:b/>
                <w:color w:val="FFFFFF"/>
                <w:sz w:val="18"/>
              </w:rPr>
              <w:t>Contact</w:t>
            </w:r>
          </w:p>
        </w:tc>
        <w:tc>
          <w:tcPr>
            <w:tcW w:type="dxa" w:w="5083"/>
            <w:shd w:fill="3E2B8F"/>
            <w:tcBorders>
              <w:top w:val="single" w:sz="5" w:color="3E2B8F"/>
              <w:left w:val="single" w:sz="5" w:color="3E2B8F"/>
              <w:bottom w:val="single" w:sz="5" w:color="3E2B8F"/>
              <w:right w:val="single" w:sz="5" w:color="3E2B8F"/>
            </w:tcBorders>
            <w:tcMar>
              <w:top w:w="90" w:type="dxa"/>
              <w:start w:w="110" w:type="dxa"/>
              <w:bottom w:w="90" w:type="dxa"/>
              <w:end w:w="110" w:type="dxa"/>
            </w:tcMar>
          </w:tcPr>
          <w:p>
            <w:r>
              <w:rPr>
                <w:rFonts w:ascii="Aptos" w:hAnsi="Aptos" w:eastAsia="Aptos"/>
                <w:b/>
                <w:color w:val="FFFFFF"/>
                <w:sz w:val="18"/>
              </w:rPr>
              <w:t>Details</w:t>
            </w:r>
          </w:p>
        </w:tc>
      </w:tr>
      <w:tr>
        <w:trPr>
          <w:cantSplit/>
          <w:cantSplit/>
        </w:trPr>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shd w:fill="F4F5F8"/>
          </w:tcPr>
          <w:p>
            <w:r>
              <w:rPr>
                <w:rFonts w:ascii="Aptos" w:hAnsi="Aptos" w:eastAsia="Aptos"/>
                <w:b/>
                <w:color w:val="25324A"/>
                <w:sz w:val="18"/>
              </w:rPr>
              <w:t>School DSL</w:t>
            </w:r>
          </w:p>
        </w:tc>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tcPr>
          <w:p>
            <w:r>
              <w:rPr>
                <w:rFonts w:ascii="Aptos" w:hAnsi="Aptos" w:eastAsia="Aptos"/>
                <w:b w:val="0"/>
                <w:color w:val="25324A"/>
                <w:sz w:val="18"/>
              </w:rPr>
              <w:t>Phil Molyneux – Headteacher</w:t>
            </w:r>
          </w:p>
        </w:tc>
      </w:tr>
      <w:tr>
        <w:trPr>
          <w:cantSplit/>
          <w:cantSplit/>
        </w:trPr>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shd w:fill="F4F5F8"/>
          </w:tcPr>
          <w:p>
            <w:r>
              <w:rPr>
                <w:rFonts w:ascii="Aptos" w:hAnsi="Aptos" w:eastAsia="Aptos"/>
                <w:b/>
                <w:color w:val="25324A"/>
                <w:sz w:val="18"/>
              </w:rPr>
              <w:t>Deputy DSLs</w:t>
            </w:r>
          </w:p>
        </w:tc>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tcPr>
          <w:p>
            <w:r>
              <w:rPr>
                <w:rFonts w:ascii="Aptos" w:hAnsi="Aptos" w:eastAsia="Aptos"/>
                <w:b w:val="0"/>
                <w:color w:val="25324A"/>
                <w:sz w:val="18"/>
              </w:rPr>
              <w:t>Josh Chesterman; Eve Reynolds; Lizzie Grant</w:t>
            </w:r>
          </w:p>
        </w:tc>
      </w:tr>
      <w:tr>
        <w:trPr>
          <w:cantSplit/>
          <w:cantSplit/>
        </w:trPr>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shd w:fill="F4F5F8"/>
          </w:tcPr>
          <w:p>
            <w:r>
              <w:rPr>
                <w:rFonts w:ascii="Aptos" w:hAnsi="Aptos" w:eastAsia="Aptos"/>
                <w:b/>
                <w:color w:val="25324A"/>
                <w:sz w:val="18"/>
              </w:rPr>
              <w:t>Safeguarding Governor</w:t>
            </w:r>
          </w:p>
        </w:tc>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tcPr>
          <w:p>
            <w:r>
              <w:rPr>
                <w:rFonts w:ascii="Aptos" w:hAnsi="Aptos" w:eastAsia="Aptos"/>
                <w:b w:val="0"/>
                <w:color w:val="25324A"/>
                <w:sz w:val="18"/>
              </w:rPr>
              <w:t>David Pimm</w:t>
            </w:r>
          </w:p>
        </w:tc>
      </w:tr>
      <w:tr>
        <w:trPr>
          <w:cantSplit/>
          <w:cantSplit/>
        </w:trPr>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shd w:fill="F4F5F8"/>
          </w:tcPr>
          <w:p>
            <w:r>
              <w:rPr>
                <w:rFonts w:ascii="Aptos" w:hAnsi="Aptos" w:eastAsia="Aptos"/>
                <w:b/>
                <w:color w:val="25324A"/>
                <w:sz w:val="18"/>
              </w:rPr>
              <w:t>Chair of Governors</w:t>
            </w:r>
          </w:p>
        </w:tc>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tcPr>
          <w:p>
            <w:r>
              <w:rPr>
                <w:rFonts w:ascii="Aptos" w:hAnsi="Aptos" w:eastAsia="Aptos"/>
                <w:b w:val="0"/>
                <w:color w:val="25324A"/>
                <w:sz w:val="18"/>
              </w:rPr>
              <w:t>Sarah Turner</w:t>
            </w:r>
          </w:p>
        </w:tc>
      </w:tr>
      <w:tr>
        <w:trPr>
          <w:cantSplit/>
          <w:cantSplit/>
        </w:trPr>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shd w:fill="F4F5F8"/>
          </w:tcPr>
          <w:p>
            <w:r>
              <w:rPr>
                <w:rFonts w:ascii="Aptos" w:hAnsi="Aptos" w:eastAsia="Aptos"/>
                <w:b/>
                <w:color w:val="25324A"/>
                <w:sz w:val="18"/>
              </w:rPr>
              <w:t>School</w:t>
            </w:r>
          </w:p>
        </w:tc>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tcPr>
          <w:p>
            <w:r>
              <w:rPr>
                <w:rFonts w:ascii="Aptos" w:hAnsi="Aptos" w:eastAsia="Aptos"/>
                <w:b w:val="0"/>
                <w:color w:val="25324A"/>
                <w:sz w:val="18"/>
              </w:rPr>
              <w:t>01279 813370 | office@manuden.essex.sch.uk</w:t>
            </w:r>
          </w:p>
        </w:tc>
      </w:tr>
      <w:tr>
        <w:trPr>
          <w:cantSplit/>
          <w:cantSplit/>
        </w:trPr>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shd w:fill="F4F5F8"/>
          </w:tcPr>
          <w:p>
            <w:r>
              <w:rPr>
                <w:rFonts w:ascii="Aptos" w:hAnsi="Aptos" w:eastAsia="Aptos"/>
                <w:b/>
                <w:color w:val="25324A"/>
                <w:sz w:val="18"/>
              </w:rPr>
              <w:t>Essex Children and Families Hub</w:t>
            </w:r>
          </w:p>
        </w:tc>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tcPr>
          <w:p>
            <w:r>
              <w:rPr>
                <w:rFonts w:ascii="Aptos" w:hAnsi="Aptos" w:eastAsia="Aptos"/>
                <w:b w:val="0"/>
                <w:color w:val="25324A"/>
                <w:sz w:val="18"/>
              </w:rPr>
              <w:t>0345 603 7627 | Out of hours 0345 606 1212</w:t>
            </w:r>
          </w:p>
        </w:tc>
      </w:tr>
      <w:tr>
        <w:trPr>
          <w:cantSplit/>
          <w:cantSplit/>
        </w:trPr>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shd w:fill="F4F5F8"/>
          </w:tcPr>
          <w:p>
            <w:r>
              <w:rPr>
                <w:rFonts w:ascii="Aptos" w:hAnsi="Aptos" w:eastAsia="Aptos"/>
                <w:b/>
                <w:color w:val="25324A"/>
                <w:sz w:val="18"/>
              </w:rPr>
              <w:t>Essex LADO</w:t>
            </w:r>
          </w:p>
        </w:tc>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tcPr>
          <w:p>
            <w:r>
              <w:rPr>
                <w:rFonts w:ascii="Aptos" w:hAnsi="Aptos" w:eastAsia="Aptos"/>
                <w:b w:val="0"/>
                <w:color w:val="25324A"/>
                <w:sz w:val="18"/>
              </w:rPr>
              <w:t>03330 139 797 | lado@essex.gov.uk</w:t>
            </w:r>
          </w:p>
        </w:tc>
      </w:tr>
      <w:tr>
        <w:trPr>
          <w:cantSplit/>
          <w:cantSplit/>
        </w:trPr>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shd w:fill="F4F5F8"/>
          </w:tcPr>
          <w:p>
            <w:r>
              <w:rPr>
                <w:rFonts w:ascii="Aptos" w:hAnsi="Aptos" w:eastAsia="Aptos"/>
                <w:b/>
                <w:color w:val="25324A"/>
                <w:sz w:val="18"/>
              </w:rPr>
              <w:t>Prevent advice</w:t>
            </w:r>
          </w:p>
        </w:tc>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tcPr>
          <w:p>
            <w:r>
              <w:rPr>
                <w:rFonts w:ascii="Aptos" w:hAnsi="Aptos" w:eastAsia="Aptos"/>
                <w:b w:val="0"/>
                <w:color w:val="25324A"/>
                <w:sz w:val="18"/>
              </w:rPr>
              <w:t>01245 452 196 | prevent@essex.police.uk</w:t>
            </w:r>
          </w:p>
        </w:tc>
      </w:tr>
      <w:tr>
        <w:trPr>
          <w:cantSplit/>
          <w:cantSplit/>
        </w:trPr>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shd w:fill="F4F5F8"/>
          </w:tcPr>
          <w:p>
            <w:r>
              <w:rPr>
                <w:rFonts w:ascii="Aptos" w:hAnsi="Aptos" w:eastAsia="Aptos"/>
                <w:b/>
                <w:color w:val="25324A"/>
                <w:sz w:val="18"/>
              </w:rPr>
              <w:t>Essex Children Missing Education</w:t>
            </w:r>
          </w:p>
        </w:tc>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tcPr>
          <w:p>
            <w:r>
              <w:rPr>
                <w:rFonts w:ascii="Aptos" w:hAnsi="Aptos" w:eastAsia="Aptos"/>
                <w:b w:val="0"/>
                <w:color w:val="25324A"/>
                <w:sz w:val="18"/>
              </w:rPr>
              <w:t>03330 322 962 | cme@essex.gov.uk</w:t>
            </w:r>
          </w:p>
        </w:tc>
      </w:tr>
      <w:tr>
        <w:trPr>
          <w:cantSplit/>
          <w:cantSplit/>
        </w:trPr>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shd w:fill="F4F5F8"/>
          </w:tcPr>
          <w:p>
            <w:r>
              <w:rPr>
                <w:rFonts w:ascii="Aptos" w:hAnsi="Aptos" w:eastAsia="Aptos"/>
                <w:b/>
                <w:color w:val="25324A"/>
                <w:sz w:val="18"/>
              </w:rPr>
              <w:t>Police</w:t>
            </w:r>
          </w:p>
        </w:tc>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tcPr>
          <w:p>
            <w:r>
              <w:rPr>
                <w:rFonts w:ascii="Aptos" w:hAnsi="Aptos" w:eastAsia="Aptos"/>
                <w:b w:val="0"/>
                <w:color w:val="25324A"/>
                <w:sz w:val="18"/>
              </w:rPr>
              <w:t>999 emergency | 101 non-emergency</w:t>
            </w:r>
          </w:p>
        </w:tc>
      </w:tr>
      <w:tr>
        <w:trPr>
          <w:cantSplit/>
          <w:cantSplit/>
        </w:trPr>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shd w:fill="F4F5F8"/>
          </w:tcPr>
          <w:p>
            <w:r>
              <w:rPr>
                <w:rFonts w:ascii="Aptos" w:hAnsi="Aptos" w:eastAsia="Aptos"/>
                <w:b/>
                <w:color w:val="25324A"/>
                <w:sz w:val="18"/>
              </w:rPr>
              <w:t>NSPCC Whistleblowing Advice Line</w:t>
            </w:r>
          </w:p>
        </w:tc>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tcPr>
          <w:p>
            <w:r>
              <w:rPr>
                <w:rFonts w:ascii="Aptos" w:hAnsi="Aptos" w:eastAsia="Aptos"/>
                <w:b w:val="0"/>
                <w:color w:val="25324A"/>
                <w:sz w:val="18"/>
              </w:rPr>
              <w:t>0800 028 0285 | help@nspcc.org.uk</w:t>
            </w:r>
          </w:p>
        </w:tc>
      </w:tr>
      <w:tr>
        <w:trPr>
          <w:cantSplit/>
          <w:cantSplit/>
        </w:trPr>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shd w:fill="F4F5F8"/>
          </w:tcPr>
          <w:p>
            <w:r>
              <w:rPr>
                <w:rFonts w:ascii="Aptos" w:hAnsi="Aptos" w:eastAsia="Aptos"/>
                <w:b/>
                <w:color w:val="25324A"/>
                <w:sz w:val="18"/>
              </w:rPr>
              <w:t>Childline</w:t>
            </w:r>
          </w:p>
        </w:tc>
        <w:tc>
          <w:tcPr>
            <w:tcW w:type="dxa" w:w="5083"/>
            <w:tcBorders>
              <w:top w:val="single" w:sz="5" w:color="D8DCE3"/>
              <w:left w:val="single" w:sz="5" w:color="D8DCE3"/>
              <w:bottom w:val="single" w:sz="5" w:color="D8DCE3"/>
              <w:right w:val="single" w:sz="5" w:color="D8DCE3"/>
            </w:tcBorders>
            <w:tcMar>
              <w:top w:w="90" w:type="dxa"/>
              <w:start w:w="110" w:type="dxa"/>
              <w:bottom w:w="90" w:type="dxa"/>
              <w:end w:w="110" w:type="dxa"/>
            </w:tcMar>
            <w:vAlign w:val="center"/>
          </w:tcPr>
          <w:p>
            <w:r>
              <w:rPr>
                <w:rFonts w:ascii="Aptos" w:hAnsi="Aptos" w:eastAsia="Aptos"/>
                <w:b w:val="0"/>
                <w:color w:val="25324A"/>
                <w:sz w:val="18"/>
              </w:rPr>
              <w:t>0800 1111</w:t>
            </w:r>
          </w:p>
        </w:tc>
      </w:tr>
    </w:tbl>
    <w:p>
      <w:r>
        <w:br w:type="page"/>
      </w:r>
    </w:p>
    <w:p>
      <w:pPr>
        <w:pStyle w:val="Heading1"/>
      </w:pPr>
      <w:r>
        <w:t>Appendix 3 – Related Statutory and Local Guidance</w:t>
      </w:r>
    </w:p>
    <w:p>
      <w:pPr>
        <w:pStyle w:val="ListBullet"/>
      </w:pPr>
      <w:hyperlink r:id="rId11">
        <w:r>
          <w:rPr>
            <w:color w:val="2F5597"/>
            <w:u w:val="single"/>
            <w:rFonts w:ascii="Aptos" w:hAnsi="Aptos"/>
          </w:rPr>
          <w:t>Keeping Children Safe in Education 2026</w:t>
        </w:r>
      </w:hyperlink>
    </w:p>
    <w:p>
      <w:pPr>
        <w:pStyle w:val="ListBullet"/>
      </w:pPr>
      <w:hyperlink r:id="rId12">
        <w:r>
          <w:rPr>
            <w:color w:val="2F5597"/>
            <w:u w:val="single"/>
            <w:rFonts w:ascii="Aptos" w:hAnsi="Aptos"/>
          </w:rPr>
          <w:t>Working Together to Safeguard Children 2026</w:t>
        </w:r>
      </w:hyperlink>
    </w:p>
    <w:p>
      <w:pPr>
        <w:pStyle w:val="ListBullet"/>
      </w:pPr>
      <w:hyperlink r:id="rId13">
        <w:r>
          <w:rPr>
            <w:color w:val="2F5597"/>
            <w:u w:val="single"/>
            <w:rFonts w:ascii="Aptos" w:hAnsi="Aptos"/>
          </w:rPr>
          <w:t>SET Safeguarding and Child Protection Procedures 2026</w:t>
        </w:r>
      </w:hyperlink>
    </w:p>
    <w:p>
      <w:pPr>
        <w:pStyle w:val="ListBullet"/>
      </w:pPr>
      <w:hyperlink r:id="rId24">
        <w:r>
          <w:rPr>
            <w:color w:val="2F5597"/>
            <w:u w:val="single"/>
            <w:rFonts w:ascii="Aptos" w:hAnsi="Aptos"/>
          </w:rPr>
          <w:t>Essex Children and Families Hub</w:t>
        </w:r>
      </w:hyperlink>
    </w:p>
    <w:p>
      <w:pPr>
        <w:pStyle w:val="ListBullet"/>
      </w:pPr>
      <w:hyperlink r:id="rId25">
        <w:r>
          <w:rPr>
            <w:color w:val="2F5597"/>
            <w:u w:val="single"/>
            <w:rFonts w:ascii="Aptos" w:hAnsi="Aptos"/>
          </w:rPr>
          <w:t>Essex LADO</w:t>
        </w:r>
      </w:hyperlink>
    </w:p>
    <w:p>
      <w:pPr>
        <w:pStyle w:val="ListBullet"/>
      </w:pPr>
      <w:hyperlink r:id="rId20">
        <w:r>
          <w:rPr>
            <w:color w:val="2F5597"/>
            <w:u w:val="single"/>
            <w:rFonts w:ascii="Aptos" w:hAnsi="Aptos"/>
          </w:rPr>
          <w:t>Prevent duty guidance</w:t>
        </w:r>
      </w:hyperlink>
    </w:p>
    <w:p>
      <w:pPr>
        <w:pStyle w:val="ListBullet"/>
      </w:pPr>
      <w:hyperlink r:id="rId26">
        <w:r>
          <w:rPr>
            <w:color w:val="2F5597"/>
            <w:u w:val="single"/>
            <w:rFonts w:ascii="Aptos" w:hAnsi="Aptos"/>
          </w:rPr>
          <w:t>Notice, Check, Share – Prevent guidance</w:t>
        </w:r>
      </w:hyperlink>
    </w:p>
    <w:p>
      <w:pPr>
        <w:pStyle w:val="ListBullet"/>
      </w:pPr>
      <w:hyperlink r:id="rId21">
        <w:r>
          <w:rPr>
            <w:color w:val="2F5597"/>
            <w:u w:val="single"/>
            <w:rFonts w:ascii="Aptos" w:hAnsi="Aptos"/>
          </w:rPr>
          <w:t>Operation Encompass statutory guidance</w:t>
        </w:r>
      </w:hyperlink>
    </w:p>
    <w:p>
      <w:pPr>
        <w:pStyle w:val="ListBullet"/>
      </w:pPr>
      <w:hyperlink r:id="rId22">
        <w:r>
          <w:rPr>
            <w:color w:val="2F5597"/>
            <w:u w:val="single"/>
            <w:rFonts w:ascii="Aptos" w:hAnsi="Aptos"/>
          </w:rPr>
          <w:t>Working Together to Improve School Attendance</w:t>
        </w:r>
      </w:hyperlink>
    </w:p>
    <w:p>
      <w:pPr>
        <w:pStyle w:val="ListBullet"/>
      </w:pPr>
      <w:hyperlink r:id="rId27">
        <w:r>
          <w:rPr>
            <w:color w:val="2F5597"/>
            <w:u w:val="single"/>
            <w:rFonts w:ascii="Aptos" w:hAnsi="Aptos"/>
          </w:rPr>
          <w:t>Children Missing Education statutory guidance</w:t>
        </w:r>
      </w:hyperlink>
    </w:p>
    <w:p>
      <w:pPr>
        <w:pStyle w:val="ListBullet"/>
      </w:pPr>
      <w:r>
        <w:t>Generative AI: product safety expectations (DfE, 2026)</w:t>
      </w:r>
    </w:p>
    <w:p>
      <w:pPr>
        <w:pStyle w:val="ListBullet"/>
      </w:pPr>
      <w:r>
        <w:t>Restrictive interventions, including use of reasonable force in schools (DfE, 2026)</w:t>
      </w:r>
    </w:p>
    <w:p>
      <w:pPr>
        <w:pStyle w:val="ListBullet"/>
      </w:pPr>
      <w:r>
        <w:t>Mobile phones in schools (DfE, 2026)</w:t>
      </w:r>
    </w:p>
    <w:p>
      <w:pPr>
        <w:pStyle w:val="ListBullet"/>
      </w:pPr>
      <w:r>
        <w:t>Information sharing advice for safeguarding practitioners (DfE, 2024)</w:t>
      </w:r>
    </w:p>
    <w:p>
      <w:pPr>
        <w:pStyle w:val="ListBullet"/>
      </w:pPr>
      <w:r>
        <w:t>Early help and effective support (Essex Safeguarding Children Board, 2026)</w:t>
      </w:r>
    </w:p>
    <w:sectPr w:rsidR="00FC693F" w:rsidRPr="0006063C" w:rsidSect="00034616">
      <w:footerReference w:type="default" r:id="rId9"/>
      <w:pgSz w:w="12240" w:h="15840"/>
      <w:pgMar w:top="893" w:right="1037" w:bottom="893" w:left="1037" w:header="720"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8" w:space="4" w:color="3E2B8F"/>
      </w:pBdr>
    </w:pPr>
    <w:r>
      <w:rPr>
        <w:rFonts w:ascii="Aptos" w:hAnsi="Aptos" w:eastAsia="Aptos"/>
        <w:color w:val="5F6674"/>
        <w:sz w:val="15"/>
      </w:rPr>
      <w:t>MANUDEN PRIMARY SCHOOL  |  The Street, Manuden, Bishop’s Stortford, CM23 1DE  |  01279 813370</w:t>
    </w:r>
  </w:p>
  <w:p>
    <w:pPr>
      <w:jc w:val="center"/>
    </w:pPr>
    <w:r>
      <w:rPr>
        <w:rFonts w:ascii="Aptos" w:hAnsi="Aptos" w:eastAsia="Aptos"/>
        <w:color w:val="5F6674"/>
        <w:sz w:val="15"/>
      </w:rPr>
      <w:t>www.manudenprimary.co.uk  |  office@manuden.essex.sch.uk</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2" w:lineRule="auto"/>
    </w:pPr>
    <w:rPr>
      <w:rFonts w:ascii="Aptos" w:hAnsi="Aptos"/>
      <w:color w:val="25324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80"/>
      <w:outlineLvl w:val="0"/>
    </w:pPr>
    <w:rPr>
      <w:rFonts w:asciiTheme="majorHAnsi" w:eastAsiaTheme="majorEastAsia" w:hAnsiTheme="majorHAnsi" w:cstheme="majorBidi" w:ascii="Aptos" w:hAnsi="Aptos"/>
      <w:b/>
      <w:bCs/>
      <w:color w:val="3E2B8F"/>
      <w:sz w:val="28"/>
      <w:szCs w:val="28"/>
    </w:rPr>
  </w:style>
  <w:style w:type="paragraph" w:styleId="Heading2">
    <w:name w:val="heading 2"/>
    <w:basedOn w:val="Normal"/>
    <w:next w:val="Normal"/>
    <w:link w:val="Heading2Char"/>
    <w:uiPriority w:val="9"/>
    <w:unhideWhenUsed/>
    <w:qFormat/>
    <w:rsid w:val="00FC693F"/>
    <w:pPr>
      <w:keepNext/>
      <w:keepLines/>
      <w:spacing w:before="160" w:after="40"/>
      <w:outlineLvl w:val="1"/>
    </w:pPr>
    <w:rPr>
      <w:rFonts w:asciiTheme="majorHAnsi" w:eastAsiaTheme="majorEastAsia" w:hAnsiTheme="majorHAnsi" w:cstheme="majorBidi" w:ascii="Aptos" w:hAnsi="Aptos"/>
      <w:b/>
      <w:bCs/>
      <w:color w:val="25324A"/>
      <w:sz w:val="23"/>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Aptos" w:hAnsi="Aptos"/>
      <w:b/>
      <w:bCs/>
      <w:color w:val="3E2B8F"/>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50"/>
      <w:contextualSpacing/>
    </w:pPr>
    <w:rPr>
      <w:rFonts w:ascii="Aptos" w:hAnsi="Aptos"/>
      <w:color w:val="25324A"/>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50"/>
      <w:contextualSpacing/>
    </w:pPr>
    <w:rPr>
      <w:rFonts w:ascii="Aptos" w:hAnsi="Aptos"/>
      <w:color w:val="25324A"/>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anudenProcess">
    <w:name w:val="Manuden Process"/>
    <w:pPr>
      <w:spacing w:before="80" w:after="120"/>
      <w:jc w:val="center"/>
    </w:pPr>
    <w:rPr>
      <w:rFonts w:ascii="Aptos" w:hAnsi="Aptos"/>
      <w:b/>
      <w:color w:val="3E2B8F"/>
      <w:sz w:val="23"/>
    </w:rPr>
  </w:style>
  <w:style w:type="paragraph" w:customStyle="1" w:styleId="ManudenAlert">
    <w:name w:val="Manuden Alert"/>
    <w:pPr>
      <w:spacing w:before="80" w:after="100"/>
    </w:pPr>
    <w:rPr>
      <w:rFonts w:ascii="Aptos" w:hAnsi="Aptos"/>
      <w:b/>
      <w:color w:val="9C1C1C"/>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www.gov.uk/government/publications/keeping-children-safe-in-education--2" TargetMode="External"/><Relationship Id="rId12" Type="http://schemas.openxmlformats.org/officeDocument/2006/relationships/hyperlink" Target="https://www.gov.uk/government/publications/working-together-to-safeguard-children--2" TargetMode="External"/><Relationship Id="rId13" Type="http://schemas.openxmlformats.org/officeDocument/2006/relationships/hyperlink" Target="https://setscp.trixonline.co.uk/" TargetMode="External"/><Relationship Id="rId14" Type="http://schemas.openxmlformats.org/officeDocument/2006/relationships/hyperlink" Target="https://www.legislation.gov.uk/ukpga/1989/41/contents" TargetMode="External"/><Relationship Id="rId15" Type="http://schemas.openxmlformats.org/officeDocument/2006/relationships/hyperlink" Target="https://www.legislation.gov.uk/ukpga/2004/31/contents" TargetMode="External"/><Relationship Id="rId16" Type="http://schemas.openxmlformats.org/officeDocument/2006/relationships/hyperlink" Target="https://www.legislation.gov.uk/ukpga/2026/21/contents" TargetMode="External"/><Relationship Id="rId17" Type="http://schemas.openxmlformats.org/officeDocument/2006/relationships/hyperlink" Target="https://www.legislation.gov.uk/ukpga/2002/32/section/175" TargetMode="External"/><Relationship Id="rId18" Type="http://schemas.openxmlformats.org/officeDocument/2006/relationships/hyperlink" Target="https://www.legislation.gov.uk/ukpga/2010/15/contents" TargetMode="External"/><Relationship Id="rId19" Type="http://schemas.openxmlformats.org/officeDocument/2006/relationships/hyperlink" Target="https://www.gov.uk/data-protection" TargetMode="External"/><Relationship Id="rId20" Type="http://schemas.openxmlformats.org/officeDocument/2006/relationships/hyperlink" Target="https://www.gov.uk/government/publications/prevent-duty-guidance" TargetMode="External"/><Relationship Id="rId21" Type="http://schemas.openxmlformats.org/officeDocument/2006/relationships/hyperlink" Target="https://www.gov.uk/government/publications/information-sharing-duty-operation-encompass" TargetMode="External"/><Relationship Id="rId22" Type="http://schemas.openxmlformats.org/officeDocument/2006/relationships/hyperlink" Target="https://www.gov.uk/government/publications/working-together-to-improve-school-attendance" TargetMode="External"/><Relationship Id="rId23" Type="http://schemas.openxmlformats.org/officeDocument/2006/relationships/hyperlink" Target="https://www.gov.uk/government/publications/early-years-foundation-stage-framework--2" TargetMode="External"/><Relationship Id="rId24" Type="http://schemas.openxmlformats.org/officeDocument/2006/relationships/hyperlink" Target="https://www.essex.gov.uk/contact-children-and-families-hub" TargetMode="External"/><Relationship Id="rId25" Type="http://schemas.openxmlformats.org/officeDocument/2006/relationships/hyperlink" Target="https://www.essex.gov.uk/children-young-people-and-families/find-support-services-children-and-their-families/local" TargetMode="External"/><Relationship Id="rId26" Type="http://schemas.openxmlformats.org/officeDocument/2006/relationships/hyperlink" Target="https://www.gov.uk/government/publications/notice-check-share" TargetMode="External"/><Relationship Id="rId27" Type="http://schemas.openxmlformats.org/officeDocument/2006/relationships/hyperlink" Target="https://www.gov.uk/government/publications/children-missing-edu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Manuden Primary School Child Protection and Safeguarding Policy 2026-27 – Version 1.1</dc:title>
  <dc:subject>Updated following final KCSIE 2026 and Essex model Child Protection Policy dated 7 September 2026</dc:subject>
  <dc:creator>Manuden Primary School</dc:creator>
  <cp:keywords/>
  <dc:description>generated by python-docx</dc:description>
  <cp:lastModifiedBy/>
  <cp:revision>1</cp:revision>
  <dcterms:created xsi:type="dcterms:W3CDTF">2013-12-23T23:15:00Z</dcterms:created>
  <dcterms:modified xsi:type="dcterms:W3CDTF">2013-12-23T23:15:00Z</dcterms:modified>
  <cp:category/>
</cp:coreProperties>
</file>