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tbl>
      <w:tblPr>
        <w:tblW w:w="9504"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6984"/>
        <w:gridCol w:w="2520"/>
      </w:tblGrid>
      <w:tr>
        <w:tblPrEx>
          <w:shd w:val="clear" w:color="auto" w:fill="ced7e7"/>
        </w:tblPrEx>
        <w:trPr>
          <w:trHeight w:val="2273" w:hRule="atLeast"/>
        </w:trPr>
        <w:tc>
          <w:tcPr>
            <w:tcW w:type="dxa" w:w="6984"/>
            <w:tcBorders>
              <w:top w:val="nil"/>
              <w:left w:val="nil"/>
              <w:bottom w:val="nil"/>
              <w:right w:val="nil"/>
            </w:tcBorders>
            <w:shd w:val="clear" w:color="auto" w:fill="auto"/>
            <w:tcMar>
              <w:top w:type="dxa" w:w="80"/>
              <w:left w:type="dxa" w:w="80"/>
              <w:bottom w:type="dxa" w:w="80"/>
              <w:right w:type="dxa" w:w="80"/>
            </w:tcMar>
            <w:vAlign w:val="center"/>
          </w:tcPr>
          <w:p>
            <w:pPr>
              <w:pStyle w:val="Body"/>
              <w:rPr>
                <w:shd w:val="nil" w:color="auto" w:fill="auto"/>
              </w:rPr>
            </w:pPr>
            <w:r>
              <w:rPr>
                <w:rFonts w:ascii="Aptos Display" w:cs="Aptos Display" w:hAnsi="Aptos Display" w:eastAsia="Aptos Display"/>
                <w:b w:val="1"/>
                <w:bCs w:val="1"/>
                <w:outline w:val="0"/>
                <w:color w:val="3e2b8f"/>
                <w:sz w:val="46"/>
                <w:szCs w:val="46"/>
                <w:u w:color="3e2b8f"/>
                <w:shd w:val="nil" w:color="auto" w:fill="auto"/>
                <w:rtl w:val="0"/>
                <w:lang w:val="en-US"/>
                <w14:textFill>
                  <w14:solidFill>
                    <w14:srgbClr w14:val="3E2B8F"/>
                  </w14:solidFill>
                </w14:textFill>
              </w:rPr>
              <w:t>MANUDEN</w:t>
            </w:r>
            <w:r>
              <w:rPr>
                <w:rFonts w:ascii="Aptos" w:cs="Aptos" w:hAnsi="Aptos" w:eastAsia="Aptos"/>
                <w:b w:val="1"/>
                <w:bCs w:val="1"/>
                <w:outline w:val="0"/>
                <w:color w:val="f3c300"/>
                <w:sz w:val="25"/>
                <w:szCs w:val="25"/>
                <w:u w:color="f3c300"/>
                <w:shd w:val="nil" w:color="auto" w:fill="auto"/>
                <w:rtl w:val="0"/>
                <w:lang w:val="en-US"/>
                <w14:textFill>
                  <w14:solidFill>
                    <w14:srgbClr w14:val="F3C300"/>
                  </w14:solidFill>
                </w14:textFill>
              </w:rPr>
              <w:t xml:space="preserve">  PRIMARY SCHOOL</w:t>
            </w:r>
          </w:p>
          <w:p>
            <w:pPr>
              <w:pStyle w:val="Body"/>
              <w:bidi w:val="0"/>
              <w:spacing w:after="0"/>
              <w:ind w:left="0" w:right="0" w:firstLine="0"/>
              <w:jc w:val="left"/>
              <w:rPr>
                <w:rtl w:val="0"/>
              </w:rPr>
            </w:pPr>
            <w:r>
              <w:rPr>
                <w:sz w:val="19"/>
                <w:szCs w:val="19"/>
                <w:shd w:val="nil" w:color="auto" w:fill="auto"/>
                <w:rtl w:val="0"/>
                <w:lang w:val="en-US"/>
              </w:rPr>
              <w:t>A Small School with Big Ideas</w:t>
            </w:r>
          </w:p>
        </w:tc>
        <w:tc>
          <w:tcPr>
            <w:tcW w:type="dxa" w:w="2520"/>
            <w:tcBorders>
              <w:top w:val="nil"/>
              <w:left w:val="nil"/>
              <w:bottom w:val="nil"/>
              <w:right w:val="nil"/>
            </w:tcBorders>
            <w:shd w:val="clear" w:color="auto" w:fill="auto"/>
            <w:tcMar>
              <w:top w:type="dxa" w:w="80"/>
              <w:left w:type="dxa" w:w="80"/>
              <w:bottom w:type="dxa" w:w="80"/>
              <w:right w:type="dxa" w:w="80"/>
            </w:tcMar>
            <w:vAlign w:val="center"/>
          </w:tcPr>
          <w:p>
            <w:pPr>
              <w:pStyle w:val="Body"/>
              <w:jc w:val="center"/>
              <w:rPr>
                <w:shd w:val="nil" w:color="auto" w:fill="auto"/>
              </w:rPr>
            </w:pPr>
            <w:r>
              <w:rPr>
                <w:shd w:val="nil" w:color="auto" w:fill="auto"/>
                <w:lang w:val="en-US"/>
              </w:rPr>
              <w:drawing xmlns:a="http://schemas.openxmlformats.org/drawingml/2006/main">
                <wp:inline distT="0" distB="0" distL="0" distR="0">
                  <wp:extent cx="1115568" cy="1208768"/>
                  <wp:effectExtent l="0" t="0" r="0" b="0"/>
                  <wp:docPr id="1073741825" name="officeArt object" descr="Manuden Primary School logo"/>
                  <wp:cNvGraphicFramePr/>
                  <a:graphic xmlns:a="http://schemas.openxmlformats.org/drawingml/2006/main">
                    <a:graphicData uri="http://schemas.openxmlformats.org/drawingml/2006/picture">
                      <pic:pic xmlns:pic="http://schemas.openxmlformats.org/drawingml/2006/picture">
                        <pic:nvPicPr>
                          <pic:cNvPr id="1073741825" name="Manuden Primary School logo" descr="Manuden Primary School logo"/>
                          <pic:cNvPicPr>
                            <a:picLocks noChangeAspect="1"/>
                          </pic:cNvPicPr>
                        </pic:nvPicPr>
                        <pic:blipFill>
                          <a:blip r:embed="rId4">
                            <a:extLst/>
                          </a:blip>
                          <a:stretch>
                            <a:fillRect/>
                          </a:stretch>
                        </pic:blipFill>
                        <pic:spPr>
                          <a:xfrm>
                            <a:off x="0" y="0"/>
                            <a:ext cx="1115568" cy="1208768"/>
                          </a:xfrm>
                          <a:prstGeom prst="rect">
                            <a:avLst/>
                          </a:prstGeom>
                          <a:ln w="12700" cap="flat">
                            <a:noFill/>
                            <a:miter lim="400000"/>
                          </a:ln>
                          <a:effectLst/>
                        </pic:spPr>
                      </pic:pic>
                    </a:graphicData>
                  </a:graphic>
                </wp:inline>
              </w:drawing>
            </w:r>
          </w:p>
          <w:p>
            <w:pPr>
              <w:pStyle w:val="Body"/>
              <w:bidi w:val="0"/>
              <w:spacing w:after="0"/>
              <w:ind w:left="0" w:right="0" w:firstLine="0"/>
              <w:jc w:val="center"/>
              <w:rPr>
                <w:rtl w:val="0"/>
              </w:rPr>
            </w:pPr>
            <w:r>
              <w:rPr>
                <w:rFonts w:ascii="Aptos" w:cs="Aptos" w:hAnsi="Aptos" w:eastAsia="Aptos"/>
                <w:b w:val="1"/>
                <w:bCs w:val="1"/>
                <w:outline w:val="0"/>
                <w:color w:val="3e2b8f"/>
                <w:sz w:val="16"/>
                <w:szCs w:val="16"/>
                <w:u w:color="3e2b8f"/>
                <w:shd w:val="nil" w:color="auto" w:fill="auto"/>
                <w:rtl w:val="0"/>
                <w:lang w:val="en-US"/>
                <w14:textFill>
                  <w14:solidFill>
                    <w14:srgbClr w14:val="3E2B8F"/>
                  </w14:solidFill>
                </w14:textFill>
              </w:rPr>
              <w:t>POLICY DOCUMENT</w:t>
            </w:r>
          </w:p>
        </w:tc>
      </w:tr>
    </w:tbl>
    <w:p>
      <w:pPr>
        <w:pStyle w:val="Body"/>
        <w:widowControl w:val="0"/>
        <w:spacing w:line="240" w:lineRule="auto"/>
        <w:jc w:val="center"/>
      </w:pPr>
    </w:p>
    <w:p>
      <w:pPr>
        <w:pStyle w:val="Body"/>
        <w:pBdr>
          <w:top w:val="nil"/>
          <w:left w:val="nil"/>
          <w:bottom w:val="single" w:color="f3c300" w:sz="24" w:space="0" w:shadow="0" w:frame="0"/>
          <w:right w:val="nil"/>
        </w:pBdr>
        <w:spacing w:before="60" w:after="280"/>
      </w:pPr>
    </w:p>
    <w:p>
      <w:pPr>
        <w:pStyle w:val="Body"/>
        <w:keepNext w:val="1"/>
        <w:spacing w:after="40"/>
        <w:jc w:val="center"/>
      </w:pPr>
      <w:r>
        <w:rPr>
          <w:rFonts w:ascii="Aptos Display" w:cs="Aptos Display" w:hAnsi="Aptos Display" w:eastAsia="Aptos Display"/>
          <w:b w:val="1"/>
          <w:bCs w:val="1"/>
          <w:outline w:val="0"/>
          <w:color w:val="3e2b8f"/>
          <w:sz w:val="48"/>
          <w:szCs w:val="48"/>
          <w:u w:color="3e2b8f"/>
          <w:rtl w:val="0"/>
          <w:lang w:val="en-US"/>
          <w14:textFill>
            <w14:solidFill>
              <w14:srgbClr w14:val="3E2B8F"/>
            </w14:solidFill>
          </w14:textFill>
        </w:rPr>
        <w:t>EDUCATIONAL VISITS POLICY</w:t>
      </w:r>
    </w:p>
    <w:p>
      <w:pPr>
        <w:pStyle w:val="Body"/>
        <w:keepNext w:val="1"/>
        <w:spacing w:after="40"/>
        <w:jc w:val="center"/>
      </w:pPr>
      <w:r>
        <w:rPr>
          <w:rFonts w:ascii="Aptos Display" w:cs="Aptos Display" w:hAnsi="Aptos Display" w:eastAsia="Aptos Display"/>
          <w:b w:val="1"/>
          <w:bCs w:val="1"/>
          <w:outline w:val="0"/>
          <w:color w:val="25324a"/>
          <w:sz w:val="26"/>
          <w:szCs w:val="26"/>
          <w:u w:color="25324a"/>
          <w:rtl w:val="0"/>
          <w14:textFill>
            <w14:solidFill>
              <w14:srgbClr w14:val="25324A"/>
            </w14:solidFill>
          </w14:textFill>
        </w:rPr>
        <w:t>2026</w:t>
      </w:r>
      <w:r>
        <w:rPr>
          <w:rFonts w:ascii="Aptos Display" w:cs="Aptos Display" w:hAnsi="Aptos Display" w:eastAsia="Aptos Display"/>
          <w:b w:val="1"/>
          <w:bCs w:val="1"/>
          <w:outline w:val="0"/>
          <w:color w:val="25324a"/>
          <w:sz w:val="26"/>
          <w:szCs w:val="26"/>
          <w:u w:color="25324a"/>
          <w:rtl w:val="0"/>
          <w:lang w:val="en-US"/>
          <w14:textFill>
            <w14:solidFill>
              <w14:srgbClr w14:val="25324A"/>
            </w14:solidFill>
          </w14:textFill>
        </w:rPr>
        <w:t>–</w:t>
      </w:r>
      <w:r>
        <w:rPr>
          <w:rFonts w:ascii="Aptos Display" w:cs="Aptos Display" w:hAnsi="Aptos Display" w:eastAsia="Aptos Display"/>
          <w:b w:val="1"/>
          <w:bCs w:val="1"/>
          <w:outline w:val="0"/>
          <w:color w:val="25324a"/>
          <w:sz w:val="26"/>
          <w:szCs w:val="26"/>
          <w:u w:color="25324a"/>
          <w:rtl w:val="0"/>
          <w14:textFill>
            <w14:solidFill>
              <w14:srgbClr w14:val="25324A"/>
            </w14:solidFill>
          </w14:textFill>
        </w:rPr>
        <w:t>27</w:t>
      </w:r>
    </w:p>
    <w:p>
      <w:pPr>
        <w:pStyle w:val="Body"/>
        <w:keepNext w:val="1"/>
        <w:spacing w:after="40"/>
        <w:jc w:val="center"/>
      </w:pPr>
      <w:r>
        <w:rPr>
          <w:rFonts w:ascii="Aptos Display" w:cs="Aptos Display" w:hAnsi="Aptos Display" w:eastAsia="Aptos Display"/>
          <w:outline w:val="0"/>
          <w:color w:val="25324a"/>
          <w:u w:color="25324a"/>
          <w:rtl w:val="0"/>
          <w:lang w:val="en-US"/>
          <w14:textFill>
            <w14:solidFill>
              <w14:srgbClr w14:val="25324A"/>
            </w14:solidFill>
          </w14:textFill>
        </w:rPr>
        <w:t xml:space="preserve">Growing Hearts  </w:t>
      </w:r>
      <w:r>
        <w:rPr>
          <w:rFonts w:ascii="Aptos Display" w:cs="Aptos Display" w:hAnsi="Aptos Display" w:eastAsia="Aptos Display"/>
          <w:outline w:val="0"/>
          <w:color w:val="25324a"/>
          <w:u w:color="25324a"/>
          <w:rtl w:val="0"/>
          <w:lang w:val="en-US"/>
          <w14:textFill>
            <w14:solidFill>
              <w14:srgbClr w14:val="25324A"/>
            </w14:solidFill>
          </w14:textFill>
        </w:rPr>
        <w:t xml:space="preserve">•  </w:t>
      </w:r>
      <w:r>
        <w:rPr>
          <w:rFonts w:ascii="Aptos Display" w:cs="Aptos Display" w:hAnsi="Aptos Display" w:eastAsia="Aptos Display"/>
          <w:outline w:val="0"/>
          <w:color w:val="25324a"/>
          <w:u w:color="25324a"/>
          <w:rtl w:val="0"/>
          <w:lang w:val="en-US"/>
          <w14:textFill>
            <w14:solidFill>
              <w14:srgbClr w14:val="25324A"/>
            </w14:solidFill>
          </w14:textFill>
        </w:rPr>
        <w:t xml:space="preserve">Growing Minds  </w:t>
      </w:r>
      <w:r>
        <w:rPr>
          <w:rFonts w:ascii="Aptos Display" w:cs="Aptos Display" w:hAnsi="Aptos Display" w:eastAsia="Aptos Display"/>
          <w:outline w:val="0"/>
          <w:color w:val="25324a"/>
          <w:u w:color="25324a"/>
          <w:rtl w:val="0"/>
          <w:lang w:val="en-US"/>
          <w14:textFill>
            <w14:solidFill>
              <w14:srgbClr w14:val="25324A"/>
            </w14:solidFill>
          </w14:textFill>
        </w:rPr>
        <w:t xml:space="preserve">•  </w:t>
      </w:r>
      <w:r>
        <w:rPr>
          <w:rFonts w:ascii="Aptos Display" w:cs="Aptos Display" w:hAnsi="Aptos Display" w:eastAsia="Aptos Display"/>
          <w:outline w:val="0"/>
          <w:color w:val="25324a"/>
          <w:u w:color="25324a"/>
          <w:rtl w:val="0"/>
          <w:lang w:val="en-US"/>
          <w14:textFill>
            <w14:solidFill>
              <w14:srgbClr w14:val="25324A"/>
            </w14:solidFill>
          </w14:textFill>
        </w:rPr>
        <w:t>Growing Dreams</w:t>
      </w:r>
    </w:p>
    <w:tbl>
      <w:tblPr>
        <w:tblW w:w="9417"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139"/>
        <w:gridCol w:w="3139"/>
        <w:gridCol w:w="3139"/>
      </w:tblGrid>
      <w:tr>
        <w:tblPrEx>
          <w:shd w:val="clear" w:color="auto" w:fill="ced7e7"/>
        </w:tblPrEx>
        <w:trPr>
          <w:trHeight w:val="80" w:hRule="atLeast"/>
        </w:trPr>
        <w:tc>
          <w:tcPr>
            <w:tcW w:type="dxa" w:w="3139"/>
            <w:tcBorders>
              <w:top w:val="nil"/>
              <w:left w:val="nil"/>
              <w:bottom w:val="nil"/>
              <w:right w:val="nil"/>
            </w:tcBorders>
            <w:shd w:val="clear" w:color="auto" w:fill="3e2b8f"/>
            <w:tcMar>
              <w:top w:type="dxa" w:w="80"/>
              <w:left w:type="dxa" w:w="80"/>
              <w:bottom w:type="dxa" w:w="80"/>
              <w:right w:type="dxa" w:w="80"/>
            </w:tcMar>
            <w:vAlign w:val="top"/>
          </w:tcPr>
          <w:p>
            <w:pPr>
              <w:pStyle w:val="Body"/>
              <w:spacing w:after="0"/>
            </w:pPr>
            <w:r>
              <w:rPr>
                <w:sz w:val="4"/>
                <w:szCs w:val="4"/>
                <w:shd w:val="nil" w:color="auto" w:fill="auto"/>
                <w:rtl w:val="0"/>
                <w:lang w:val="en-US"/>
              </w:rPr>
              <w:t xml:space="preserve"> </w:t>
            </w:r>
          </w:p>
        </w:tc>
        <w:tc>
          <w:tcPr>
            <w:tcW w:type="dxa" w:w="3139"/>
            <w:tcBorders>
              <w:top w:val="nil"/>
              <w:left w:val="nil"/>
              <w:bottom w:val="nil"/>
              <w:right w:val="nil"/>
            </w:tcBorders>
            <w:shd w:val="clear" w:color="auto" w:fill="f3c300"/>
            <w:tcMar>
              <w:top w:type="dxa" w:w="80"/>
              <w:left w:type="dxa" w:w="80"/>
              <w:bottom w:type="dxa" w:w="80"/>
              <w:right w:type="dxa" w:w="80"/>
            </w:tcMar>
            <w:vAlign w:val="top"/>
          </w:tcPr>
          <w:p>
            <w:pPr>
              <w:pStyle w:val="Body"/>
              <w:spacing w:after="0"/>
            </w:pPr>
            <w:r>
              <w:rPr>
                <w:sz w:val="4"/>
                <w:szCs w:val="4"/>
                <w:shd w:val="nil" w:color="auto" w:fill="auto"/>
                <w:rtl w:val="0"/>
                <w:lang w:val="en-US"/>
              </w:rPr>
              <w:t xml:space="preserve"> </w:t>
            </w:r>
          </w:p>
        </w:tc>
        <w:tc>
          <w:tcPr>
            <w:tcW w:type="dxa" w:w="3139"/>
            <w:tcBorders>
              <w:top w:val="nil"/>
              <w:left w:val="nil"/>
              <w:bottom w:val="nil"/>
              <w:right w:val="nil"/>
            </w:tcBorders>
            <w:shd w:val="clear" w:color="auto" w:fill="3e2b8f"/>
            <w:tcMar>
              <w:top w:type="dxa" w:w="80"/>
              <w:left w:type="dxa" w:w="80"/>
              <w:bottom w:type="dxa" w:w="80"/>
              <w:right w:type="dxa" w:w="80"/>
            </w:tcMar>
            <w:vAlign w:val="top"/>
          </w:tcPr>
          <w:p>
            <w:pPr>
              <w:pStyle w:val="Body"/>
              <w:spacing w:after="0"/>
            </w:pPr>
            <w:r>
              <w:rPr>
                <w:sz w:val="4"/>
                <w:szCs w:val="4"/>
                <w:shd w:val="nil" w:color="auto" w:fill="auto"/>
                <w:rtl w:val="0"/>
                <w:lang w:val="en-US"/>
              </w:rPr>
              <w:t xml:space="preserve"> </w:t>
            </w:r>
          </w:p>
        </w:tc>
      </w:tr>
    </w:tbl>
    <w:p>
      <w:pPr>
        <w:pStyle w:val="Body"/>
        <w:keepNext w:val="1"/>
        <w:widowControl w:val="0"/>
        <w:spacing w:after="40" w:line="240" w:lineRule="auto"/>
        <w:jc w:val="center"/>
      </w:pPr>
    </w:p>
    <w:p>
      <w:pPr>
        <w:pStyle w:val="Body"/>
        <w:keepNext w:val="1"/>
        <w:pBdr>
          <w:top w:val="nil"/>
          <w:left w:val="nil"/>
          <w:bottom w:val="single" w:color="3e2b8f" w:sz="8" w:space="0" w:shadow="0" w:frame="0"/>
          <w:right w:val="nil"/>
        </w:pBdr>
        <w:spacing w:after="40"/>
        <w:jc w:val="center"/>
      </w:pPr>
      <w:r>
        <w:rPr>
          <w:rFonts w:ascii="Aptos Display" w:cs="Aptos Display" w:hAnsi="Aptos Display" w:eastAsia="Aptos Display"/>
          <w:b w:val="1"/>
          <w:bCs w:val="1"/>
          <w:outline w:val="0"/>
          <w:color w:val="25324a"/>
          <w:sz w:val="22"/>
          <w:szCs w:val="22"/>
          <w:u w:color="25324a"/>
          <w:rtl w:val="0"/>
          <w:lang w:val="en-US"/>
          <w14:textFill>
            <w14:solidFill>
              <w14:srgbClr w14:val="25324A"/>
            </w14:solidFill>
          </w14:textFill>
        </w:rPr>
        <w:t>POLICY INFORMATION</w:t>
      </w:r>
    </w:p>
    <w:tbl>
      <w:tblPr>
        <w:tblW w:w="9360"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952"/>
        <w:gridCol w:w="6408"/>
      </w:tblGrid>
      <w:tr>
        <w:tblPrEx>
          <w:shd w:val="clear" w:color="auto" w:fill="ced7e7"/>
        </w:tblPrEx>
        <w:trPr>
          <w:trHeight w:val="233" w:hRule="atLeast"/>
        </w:trPr>
        <w:tc>
          <w:tcPr>
            <w:tcW w:type="dxa" w:w="2952"/>
            <w:tcBorders>
              <w:top w:val="single" w:color="d8dce3" w:sz="5" w:space="0" w:shadow="0" w:frame="0"/>
              <w:left w:val="single" w:color="d8dce3" w:sz="5" w:space="0" w:shadow="0" w:frame="0"/>
              <w:bottom w:val="single" w:color="d8dce3" w:sz="5" w:space="0" w:shadow="0" w:frame="0"/>
              <w:right w:val="single" w:color="d8dce3" w:sz="5" w:space="0" w:shadow="0" w:frame="0"/>
            </w:tcBorders>
            <w:shd w:val="clear" w:color="auto" w:fill="f4f5f7"/>
            <w:tcMar>
              <w:top w:type="dxa" w:w="80"/>
              <w:left w:type="dxa" w:w="80"/>
              <w:bottom w:type="dxa" w:w="80"/>
              <w:right w:type="dxa" w:w="80"/>
            </w:tcMar>
            <w:vAlign w:val="top"/>
          </w:tcPr>
          <w:p>
            <w:pPr>
              <w:pStyle w:val="Body"/>
            </w:pPr>
            <w:r>
              <w:rPr>
                <w:sz w:val="19"/>
                <w:szCs w:val="19"/>
                <w:shd w:val="nil" w:color="auto" w:fill="auto"/>
                <w:rtl w:val="0"/>
                <w:lang w:val="en-US"/>
              </w:rPr>
              <w:t>Policy owner / lead</w:t>
            </w:r>
          </w:p>
        </w:tc>
        <w:tc>
          <w:tcPr>
            <w:tcW w:type="dxa" w:w="6408"/>
            <w:tcBorders>
              <w:top w:val="single" w:color="d8dce3" w:sz="5" w:space="0" w:shadow="0" w:frame="0"/>
              <w:left w:val="single" w:color="d8dce3" w:sz="5" w:space="0" w:shadow="0" w:frame="0"/>
              <w:bottom w:val="single" w:color="d8dce3" w:sz="5" w:space="0" w:shadow="0" w:frame="0"/>
              <w:right w:val="single" w:color="d8dce3" w:sz="5" w:space="0" w:shadow="0" w:frame="0"/>
            </w:tcBorders>
            <w:shd w:val="clear" w:color="auto" w:fill="auto"/>
            <w:tcMar>
              <w:top w:type="dxa" w:w="80"/>
              <w:left w:type="dxa" w:w="80"/>
              <w:bottom w:type="dxa" w:w="80"/>
              <w:right w:type="dxa" w:w="80"/>
            </w:tcMar>
            <w:vAlign w:val="top"/>
          </w:tcPr>
          <w:p>
            <w:pPr>
              <w:pStyle w:val="Body"/>
            </w:pPr>
            <w:r>
              <w:rPr>
                <w:sz w:val="19"/>
                <w:szCs w:val="19"/>
                <w:shd w:val="nil" w:color="auto" w:fill="auto"/>
                <w:rtl w:val="0"/>
                <w:lang w:val="en-US"/>
              </w:rPr>
              <w:t>Headteacher / Educational Visits Coordinator (EVC)</w:t>
            </w:r>
          </w:p>
        </w:tc>
      </w:tr>
      <w:tr>
        <w:tblPrEx>
          <w:shd w:val="clear" w:color="auto" w:fill="ced7e7"/>
        </w:tblPrEx>
        <w:trPr>
          <w:trHeight w:val="233" w:hRule="atLeast"/>
        </w:trPr>
        <w:tc>
          <w:tcPr>
            <w:tcW w:type="dxa" w:w="2952"/>
            <w:tcBorders>
              <w:top w:val="single" w:color="d8dce3" w:sz="5" w:space="0" w:shadow="0" w:frame="0"/>
              <w:left w:val="single" w:color="d8dce3" w:sz="5" w:space="0" w:shadow="0" w:frame="0"/>
              <w:bottom w:val="single" w:color="d8dce3" w:sz="5" w:space="0" w:shadow="0" w:frame="0"/>
              <w:right w:val="single" w:color="d8dce3" w:sz="5" w:space="0" w:shadow="0" w:frame="0"/>
            </w:tcBorders>
            <w:shd w:val="clear" w:color="auto" w:fill="f4f5f7"/>
            <w:tcMar>
              <w:top w:type="dxa" w:w="80"/>
              <w:left w:type="dxa" w:w="80"/>
              <w:bottom w:type="dxa" w:w="80"/>
              <w:right w:type="dxa" w:w="80"/>
            </w:tcMar>
            <w:vAlign w:val="top"/>
          </w:tcPr>
          <w:p>
            <w:pPr>
              <w:pStyle w:val="Body"/>
            </w:pPr>
            <w:r>
              <w:rPr>
                <w:sz w:val="19"/>
                <w:szCs w:val="19"/>
                <w:shd w:val="nil" w:color="auto" w:fill="auto"/>
                <w:rtl w:val="0"/>
                <w:lang w:val="en-US"/>
              </w:rPr>
              <w:t>Approved by</w:t>
            </w:r>
          </w:p>
        </w:tc>
        <w:tc>
          <w:tcPr>
            <w:tcW w:type="dxa" w:w="6408"/>
            <w:tcBorders>
              <w:top w:val="single" w:color="d8dce3" w:sz="5" w:space="0" w:shadow="0" w:frame="0"/>
              <w:left w:val="single" w:color="d8dce3" w:sz="5" w:space="0" w:shadow="0" w:frame="0"/>
              <w:bottom w:val="single" w:color="d8dce3" w:sz="5" w:space="0" w:shadow="0" w:frame="0"/>
              <w:right w:val="single" w:color="d8dce3" w:sz="5" w:space="0" w:shadow="0" w:frame="0"/>
            </w:tcBorders>
            <w:shd w:val="clear" w:color="auto" w:fill="auto"/>
            <w:tcMar>
              <w:top w:type="dxa" w:w="80"/>
              <w:left w:type="dxa" w:w="80"/>
              <w:bottom w:type="dxa" w:w="80"/>
              <w:right w:type="dxa" w:w="80"/>
            </w:tcMar>
            <w:vAlign w:val="top"/>
          </w:tcPr>
          <w:p>
            <w:pPr>
              <w:pStyle w:val="Body"/>
            </w:pPr>
            <w:r>
              <w:rPr>
                <w:sz w:val="19"/>
                <w:szCs w:val="19"/>
                <w:shd w:val="nil" w:color="auto" w:fill="auto"/>
                <w:rtl w:val="0"/>
                <w:lang w:val="en-US"/>
              </w:rPr>
              <w:t>Headteacher for publication; formal Governing Body ratification pending</w:t>
            </w:r>
          </w:p>
        </w:tc>
      </w:tr>
      <w:tr>
        <w:tblPrEx>
          <w:shd w:val="clear" w:color="auto" w:fill="ced7e7"/>
        </w:tblPrEx>
        <w:trPr>
          <w:trHeight w:val="233" w:hRule="atLeast"/>
        </w:trPr>
        <w:tc>
          <w:tcPr>
            <w:tcW w:type="dxa" w:w="2952"/>
            <w:tcBorders>
              <w:top w:val="single" w:color="d8dce3" w:sz="5" w:space="0" w:shadow="0" w:frame="0"/>
              <w:left w:val="single" w:color="d8dce3" w:sz="5" w:space="0" w:shadow="0" w:frame="0"/>
              <w:bottom w:val="single" w:color="d8dce3" w:sz="5" w:space="0" w:shadow="0" w:frame="0"/>
              <w:right w:val="single" w:color="d8dce3" w:sz="5" w:space="0" w:shadow="0" w:frame="0"/>
            </w:tcBorders>
            <w:shd w:val="clear" w:color="auto" w:fill="f4f5f7"/>
            <w:tcMar>
              <w:top w:type="dxa" w:w="80"/>
              <w:left w:type="dxa" w:w="80"/>
              <w:bottom w:type="dxa" w:w="80"/>
              <w:right w:type="dxa" w:w="80"/>
            </w:tcMar>
            <w:vAlign w:val="top"/>
          </w:tcPr>
          <w:p>
            <w:pPr>
              <w:pStyle w:val="Body"/>
            </w:pPr>
            <w:r>
              <w:rPr>
                <w:sz w:val="19"/>
                <w:szCs w:val="19"/>
                <w:shd w:val="nil" w:color="auto" w:fill="auto"/>
                <w:rtl w:val="0"/>
                <w:lang w:val="en-US"/>
              </w:rPr>
              <w:t>Approval / adoption date</w:t>
            </w:r>
          </w:p>
        </w:tc>
        <w:tc>
          <w:tcPr>
            <w:tcW w:type="dxa" w:w="6408"/>
            <w:tcBorders>
              <w:top w:val="single" w:color="d8dce3" w:sz="5" w:space="0" w:shadow="0" w:frame="0"/>
              <w:left w:val="single" w:color="d8dce3" w:sz="5" w:space="0" w:shadow="0" w:frame="0"/>
              <w:bottom w:val="single" w:color="d8dce3" w:sz="5" w:space="0" w:shadow="0" w:frame="0"/>
              <w:right w:val="single" w:color="d8dce3" w:sz="5" w:space="0" w:shadow="0" w:frame="0"/>
            </w:tcBorders>
            <w:shd w:val="clear" w:color="auto" w:fill="auto"/>
            <w:tcMar>
              <w:top w:type="dxa" w:w="80"/>
              <w:left w:type="dxa" w:w="80"/>
              <w:bottom w:type="dxa" w:w="80"/>
              <w:right w:type="dxa" w:w="80"/>
            </w:tcMar>
            <w:vAlign w:val="top"/>
          </w:tcPr>
          <w:p>
            <w:pPr>
              <w:pStyle w:val="Body"/>
            </w:pPr>
            <w:r>
              <w:rPr>
                <w:sz w:val="19"/>
                <w:szCs w:val="19"/>
                <w:shd w:val="nil" w:color="auto" w:fill="auto"/>
                <w:rtl w:val="0"/>
                <w:lang w:val="en-US"/>
              </w:rPr>
              <w:t>September 2026</w:t>
            </w:r>
          </w:p>
        </w:tc>
      </w:tr>
      <w:tr>
        <w:tblPrEx>
          <w:shd w:val="clear" w:color="auto" w:fill="ced7e7"/>
        </w:tblPrEx>
        <w:trPr>
          <w:trHeight w:val="233" w:hRule="atLeast"/>
        </w:trPr>
        <w:tc>
          <w:tcPr>
            <w:tcW w:type="dxa" w:w="2952"/>
            <w:tcBorders>
              <w:top w:val="single" w:color="d8dce3" w:sz="5" w:space="0" w:shadow="0" w:frame="0"/>
              <w:left w:val="single" w:color="d8dce3" w:sz="5" w:space="0" w:shadow="0" w:frame="0"/>
              <w:bottom w:val="single" w:color="d8dce3" w:sz="5" w:space="0" w:shadow="0" w:frame="0"/>
              <w:right w:val="single" w:color="d8dce3" w:sz="5" w:space="0" w:shadow="0" w:frame="0"/>
            </w:tcBorders>
            <w:shd w:val="clear" w:color="auto" w:fill="f4f5f7"/>
            <w:tcMar>
              <w:top w:type="dxa" w:w="80"/>
              <w:left w:type="dxa" w:w="80"/>
              <w:bottom w:type="dxa" w:w="80"/>
              <w:right w:type="dxa" w:w="80"/>
            </w:tcMar>
            <w:vAlign w:val="top"/>
          </w:tcPr>
          <w:p>
            <w:pPr>
              <w:pStyle w:val="Body"/>
            </w:pPr>
            <w:r>
              <w:rPr>
                <w:sz w:val="19"/>
                <w:szCs w:val="19"/>
                <w:shd w:val="nil" w:color="auto" w:fill="auto"/>
                <w:rtl w:val="0"/>
                <w:lang w:val="en-US"/>
              </w:rPr>
              <w:t>Next review date</w:t>
            </w:r>
          </w:p>
        </w:tc>
        <w:tc>
          <w:tcPr>
            <w:tcW w:type="dxa" w:w="6408"/>
            <w:tcBorders>
              <w:top w:val="single" w:color="d8dce3" w:sz="5" w:space="0" w:shadow="0" w:frame="0"/>
              <w:left w:val="single" w:color="d8dce3" w:sz="5" w:space="0" w:shadow="0" w:frame="0"/>
              <w:bottom w:val="single" w:color="d8dce3" w:sz="5" w:space="0" w:shadow="0" w:frame="0"/>
              <w:right w:val="single" w:color="d8dce3" w:sz="5" w:space="0" w:shadow="0" w:frame="0"/>
            </w:tcBorders>
            <w:shd w:val="clear" w:color="auto" w:fill="auto"/>
            <w:tcMar>
              <w:top w:type="dxa" w:w="80"/>
              <w:left w:type="dxa" w:w="80"/>
              <w:bottom w:type="dxa" w:w="80"/>
              <w:right w:type="dxa" w:w="80"/>
            </w:tcMar>
            <w:vAlign w:val="top"/>
          </w:tcPr>
          <w:p>
            <w:pPr>
              <w:pStyle w:val="Body"/>
            </w:pPr>
            <w:r>
              <w:rPr>
                <w:sz w:val="19"/>
                <w:szCs w:val="19"/>
                <w:shd w:val="nil" w:color="auto" w:fill="auto"/>
                <w:rtl w:val="0"/>
                <w:lang w:val="en-US"/>
              </w:rPr>
              <w:t>September 2027, or earlier if guidance or local arrangements change</w:t>
            </w:r>
          </w:p>
        </w:tc>
      </w:tr>
      <w:tr>
        <w:tblPrEx>
          <w:shd w:val="clear" w:color="auto" w:fill="ced7e7"/>
        </w:tblPrEx>
        <w:trPr>
          <w:trHeight w:val="233" w:hRule="atLeast"/>
        </w:trPr>
        <w:tc>
          <w:tcPr>
            <w:tcW w:type="dxa" w:w="2952"/>
            <w:tcBorders>
              <w:top w:val="single" w:color="d8dce3" w:sz="5" w:space="0" w:shadow="0" w:frame="0"/>
              <w:left w:val="single" w:color="d8dce3" w:sz="5" w:space="0" w:shadow="0" w:frame="0"/>
              <w:bottom w:val="single" w:color="d8dce3" w:sz="5" w:space="0" w:shadow="0" w:frame="0"/>
              <w:right w:val="single" w:color="d8dce3" w:sz="5" w:space="0" w:shadow="0" w:frame="0"/>
            </w:tcBorders>
            <w:shd w:val="clear" w:color="auto" w:fill="f4f5f7"/>
            <w:tcMar>
              <w:top w:type="dxa" w:w="80"/>
              <w:left w:type="dxa" w:w="80"/>
              <w:bottom w:type="dxa" w:w="80"/>
              <w:right w:type="dxa" w:w="80"/>
            </w:tcMar>
            <w:vAlign w:val="top"/>
          </w:tcPr>
          <w:p>
            <w:pPr>
              <w:pStyle w:val="Body"/>
            </w:pPr>
            <w:r>
              <w:rPr>
                <w:sz w:val="19"/>
                <w:szCs w:val="19"/>
                <w:shd w:val="nil" w:color="auto" w:fill="auto"/>
                <w:rtl w:val="0"/>
                <w:lang w:val="en-US"/>
              </w:rPr>
              <w:t>Review cycle</w:t>
            </w:r>
          </w:p>
        </w:tc>
        <w:tc>
          <w:tcPr>
            <w:tcW w:type="dxa" w:w="6408"/>
            <w:tcBorders>
              <w:top w:val="single" w:color="d8dce3" w:sz="5" w:space="0" w:shadow="0" w:frame="0"/>
              <w:left w:val="single" w:color="d8dce3" w:sz="5" w:space="0" w:shadow="0" w:frame="0"/>
              <w:bottom w:val="single" w:color="d8dce3" w:sz="5" w:space="0" w:shadow="0" w:frame="0"/>
              <w:right w:val="single" w:color="d8dce3" w:sz="5" w:space="0" w:shadow="0" w:frame="0"/>
            </w:tcBorders>
            <w:shd w:val="clear" w:color="auto" w:fill="auto"/>
            <w:tcMar>
              <w:top w:type="dxa" w:w="80"/>
              <w:left w:type="dxa" w:w="80"/>
              <w:bottom w:type="dxa" w:w="80"/>
              <w:right w:type="dxa" w:w="80"/>
            </w:tcMar>
            <w:vAlign w:val="top"/>
          </w:tcPr>
          <w:p>
            <w:pPr>
              <w:pStyle w:val="Body"/>
            </w:pPr>
            <w:r>
              <w:rPr>
                <w:sz w:val="19"/>
                <w:szCs w:val="19"/>
                <w:shd w:val="nil" w:color="auto" w:fill="auto"/>
                <w:rtl w:val="0"/>
                <w:lang w:val="en-US"/>
              </w:rPr>
              <w:t>Annual and following any significant incident or change in guidance</w:t>
            </w:r>
          </w:p>
        </w:tc>
      </w:tr>
      <w:tr>
        <w:tblPrEx>
          <w:shd w:val="clear" w:color="auto" w:fill="ced7e7"/>
        </w:tblPrEx>
        <w:trPr>
          <w:trHeight w:val="233" w:hRule="atLeast"/>
        </w:trPr>
        <w:tc>
          <w:tcPr>
            <w:tcW w:type="dxa" w:w="2952"/>
            <w:tcBorders>
              <w:top w:val="single" w:color="d8dce3" w:sz="5" w:space="0" w:shadow="0" w:frame="0"/>
              <w:left w:val="single" w:color="d8dce3" w:sz="5" w:space="0" w:shadow="0" w:frame="0"/>
              <w:bottom w:val="single" w:color="d8dce3" w:sz="5" w:space="0" w:shadow="0" w:frame="0"/>
              <w:right w:val="single" w:color="d8dce3" w:sz="5" w:space="0" w:shadow="0" w:frame="0"/>
            </w:tcBorders>
            <w:shd w:val="clear" w:color="auto" w:fill="f4f5f7"/>
            <w:tcMar>
              <w:top w:type="dxa" w:w="80"/>
              <w:left w:type="dxa" w:w="80"/>
              <w:bottom w:type="dxa" w:w="80"/>
              <w:right w:type="dxa" w:w="80"/>
            </w:tcMar>
            <w:vAlign w:val="top"/>
          </w:tcPr>
          <w:p>
            <w:pPr>
              <w:pStyle w:val="Body"/>
            </w:pPr>
            <w:r>
              <w:rPr>
                <w:sz w:val="19"/>
                <w:szCs w:val="19"/>
                <w:shd w:val="nil" w:color="auto" w:fill="auto"/>
                <w:rtl w:val="0"/>
                <w:lang w:val="en-US"/>
              </w:rPr>
              <w:t>Version</w:t>
            </w:r>
          </w:p>
        </w:tc>
        <w:tc>
          <w:tcPr>
            <w:tcW w:type="dxa" w:w="6408"/>
            <w:tcBorders>
              <w:top w:val="single" w:color="d8dce3" w:sz="5" w:space="0" w:shadow="0" w:frame="0"/>
              <w:left w:val="single" w:color="d8dce3" w:sz="5" w:space="0" w:shadow="0" w:frame="0"/>
              <w:bottom w:val="single" w:color="d8dce3" w:sz="5" w:space="0" w:shadow="0" w:frame="0"/>
              <w:right w:val="single" w:color="d8dce3" w:sz="5" w:space="0" w:shadow="0" w:frame="0"/>
            </w:tcBorders>
            <w:shd w:val="clear" w:color="auto" w:fill="auto"/>
            <w:tcMar>
              <w:top w:type="dxa" w:w="80"/>
              <w:left w:type="dxa" w:w="80"/>
              <w:bottom w:type="dxa" w:w="80"/>
              <w:right w:type="dxa" w:w="80"/>
            </w:tcMar>
            <w:vAlign w:val="top"/>
          </w:tcPr>
          <w:p>
            <w:pPr>
              <w:pStyle w:val="Body"/>
            </w:pPr>
            <w:r>
              <w:rPr>
                <w:sz w:val="19"/>
                <w:szCs w:val="19"/>
                <w:shd w:val="nil" w:color="auto" w:fill="auto"/>
                <w:rtl w:val="0"/>
                <w:lang w:val="en-US"/>
              </w:rPr>
              <w:t>1.0</w:t>
            </w:r>
          </w:p>
        </w:tc>
      </w:tr>
      <w:tr>
        <w:tblPrEx>
          <w:shd w:val="clear" w:color="auto" w:fill="ced7e7"/>
        </w:tblPrEx>
        <w:trPr>
          <w:trHeight w:val="470" w:hRule="atLeast"/>
        </w:trPr>
        <w:tc>
          <w:tcPr>
            <w:tcW w:type="dxa" w:w="2952"/>
            <w:tcBorders>
              <w:top w:val="single" w:color="d8dce3" w:sz="5" w:space="0" w:shadow="0" w:frame="0"/>
              <w:left w:val="single" w:color="d8dce3" w:sz="5" w:space="0" w:shadow="0" w:frame="0"/>
              <w:bottom w:val="single" w:color="d8dce3" w:sz="5" w:space="0" w:shadow="0" w:frame="0"/>
              <w:right w:val="single" w:color="d8dce3" w:sz="5" w:space="0" w:shadow="0" w:frame="0"/>
            </w:tcBorders>
            <w:shd w:val="clear" w:color="auto" w:fill="f4f5f7"/>
            <w:tcMar>
              <w:top w:type="dxa" w:w="80"/>
              <w:left w:type="dxa" w:w="80"/>
              <w:bottom w:type="dxa" w:w="80"/>
              <w:right w:type="dxa" w:w="80"/>
            </w:tcMar>
            <w:vAlign w:val="top"/>
          </w:tcPr>
          <w:p>
            <w:pPr>
              <w:pStyle w:val="Body"/>
            </w:pPr>
            <w:r>
              <w:rPr>
                <w:sz w:val="19"/>
                <w:szCs w:val="19"/>
                <w:shd w:val="nil" w:color="auto" w:fill="auto"/>
                <w:rtl w:val="0"/>
                <w:lang w:val="en-US"/>
              </w:rPr>
              <w:t>Policy status</w:t>
            </w:r>
          </w:p>
        </w:tc>
        <w:tc>
          <w:tcPr>
            <w:tcW w:type="dxa" w:w="6408"/>
            <w:tcBorders>
              <w:top w:val="single" w:color="d8dce3" w:sz="5" w:space="0" w:shadow="0" w:frame="0"/>
              <w:left w:val="single" w:color="d8dce3" w:sz="5" w:space="0" w:shadow="0" w:frame="0"/>
              <w:bottom w:val="single" w:color="d8dce3" w:sz="5" w:space="0" w:shadow="0" w:frame="0"/>
              <w:right w:val="single" w:color="d8dce3" w:sz="5" w:space="0" w:shadow="0" w:frame="0"/>
            </w:tcBorders>
            <w:shd w:val="clear" w:color="auto" w:fill="auto"/>
            <w:tcMar>
              <w:top w:type="dxa" w:w="80"/>
              <w:left w:type="dxa" w:w="80"/>
              <w:bottom w:type="dxa" w:w="80"/>
              <w:right w:type="dxa" w:w="80"/>
            </w:tcMar>
            <w:vAlign w:val="top"/>
          </w:tcPr>
          <w:p>
            <w:pPr>
              <w:pStyle w:val="Body"/>
            </w:pPr>
            <w:r>
              <w:rPr>
                <w:sz w:val="19"/>
                <w:szCs w:val="19"/>
                <w:shd w:val="nil" w:color="auto" w:fill="auto"/>
                <w:rtl w:val="0"/>
                <w:lang w:val="en-US"/>
              </w:rPr>
              <w:t>Published and in force from September 2026; formal Governing Body ratification pending</w:t>
            </w:r>
          </w:p>
        </w:tc>
      </w:tr>
    </w:tbl>
    <w:p>
      <w:pPr>
        <w:pStyle w:val="Body"/>
        <w:keepNext w:val="1"/>
        <w:widowControl w:val="0"/>
        <w:spacing w:after="40" w:line="240" w:lineRule="auto"/>
        <w:jc w:val="center"/>
      </w:pPr>
    </w:p>
    <w:p>
      <w:pPr>
        <w:pStyle w:val="Body"/>
        <w:spacing w:before="180" w:after="60"/>
      </w:pPr>
      <w:r>
        <w:rPr>
          <w:rtl w:val="0"/>
          <w:lang w:val="en-US"/>
        </w:rPr>
        <w:t>This policy applies to: all educational visits and off-site activities organised by Manuden Primary School, including local learning, day visits, sporting events, residentials and adventurous activities.</w:t>
      </w:r>
    </w:p>
    <w:p>
      <w:pPr>
        <w:pStyle w:val="Body"/>
        <w:spacing w:after="0"/>
      </w:pPr>
      <w:r>
        <w:rPr>
          <w:rtl w:val="0"/>
          <w:lang w:val="en-US"/>
        </w:rPr>
        <w:t>Related documents: Health and Safety Policy; Child Protection and Safeguarding Policy; Behaviour Policy; First Aid Policy; Supporting Pupils with Medical Conditions Policy; SEND Policy and SEN Information Report; Equality Information and Objectives; Charging and Remissions Policy; Trip Leader Checklist; Local Learning Area and Operating Procedure.</w:t>
        <w:br w:type="page"/>
      </w:r>
    </w:p>
    <w:p>
      <w:pPr>
        <w:pStyle w:val="Body"/>
      </w:pPr>
    </w:p>
    <w:p>
      <w:pPr>
        <w:pStyle w:val="Heading"/>
      </w:pPr>
      <w:r>
        <w:rPr>
          <w:rtl w:val="0"/>
          <w:lang w:val="en-US"/>
        </w:rPr>
        <w:t>1. Purpose and scope</w:t>
      </w:r>
    </w:p>
    <w:p>
      <w:pPr>
        <w:pStyle w:val="Body"/>
      </w:pPr>
      <w:r>
        <w:rPr>
          <w:rtl w:val="0"/>
          <w:lang w:val="en-US"/>
        </w:rPr>
        <w:t>Manuden Primary School values learning beyond the classroom. Educational visits can deepen curriculum learning, develop independence and confidence, strengthen relationships and provide experiences that cannot be replicated in school. This policy sets out how visits are planned, approved and delivered so that they are educationally worthwhile, inclusive and managed safely.</w:t>
      </w:r>
    </w:p>
    <w:p>
      <w:pPr>
        <w:pStyle w:val="Body"/>
      </w:pPr>
      <w:r>
        <w:rPr>
          <w:rtl w:val="0"/>
          <w:lang w:val="en-US"/>
        </w:rPr>
        <w:t>It applies to activities organised by or on behalf of the school that take pupils away from the school site, whether during or outside normal school hours. This includes routine local visits, day trips, sporting fixtures, adventurous activities, residential visits and overseas visits.</w:t>
      </w:r>
    </w:p>
    <w:p>
      <w:pPr>
        <w:pStyle w:val="Heading"/>
      </w:pPr>
      <w:r>
        <w:rPr>
          <w:rtl w:val="0"/>
          <w:lang w:val="en-US"/>
        </w:rPr>
        <w:t>2. Legal and guidance framework</w:t>
      </w:r>
    </w:p>
    <w:p>
      <w:pPr>
        <w:pStyle w:val="Body"/>
      </w:pPr>
      <w:r>
        <w:rPr>
          <w:rtl w:val="0"/>
          <w:lang w:val="en-US"/>
        </w:rPr>
        <w:t>The school will plan and manage visits in accordance with current Department for Education guidance on health and safety on educational visits, relevant health and safety legislation, the Equality Act 2010, Keeping Children Safe in Education 2026, the statutory framework for the Early Years Foundation Stage where applicable, and recognised Outdoor Education Advisers</w:t>
      </w:r>
      <w:r>
        <w:rPr>
          <w:rtl w:val="1"/>
        </w:rPr>
        <w:t xml:space="preserve">’ </w:t>
      </w:r>
      <w:r>
        <w:rPr>
          <w:rtl w:val="0"/>
          <w:lang w:val="it-IT"/>
        </w:rPr>
        <w:t>Panel (OEAP) National Guidance.</w:t>
      </w:r>
    </w:p>
    <w:p>
      <w:pPr>
        <w:pStyle w:val="Body"/>
      </w:pPr>
      <w:r>
        <w:rPr>
          <w:rtl w:val="0"/>
          <w:lang w:val="en-US"/>
        </w:rPr>
        <w:t>Where Essex County Council procedures require a visit to be notified, recorded or approved through EVOLVE, the school will follow those arrangements. Staff must use the current version of local authority and school procedures rather than relying on historic templates.</w:t>
      </w:r>
    </w:p>
    <w:p>
      <w:pPr>
        <w:pStyle w:val="Heading"/>
      </w:pPr>
      <w:r>
        <w:rPr>
          <w:rtl w:val="0"/>
          <w:lang w:val="en-US"/>
        </w:rPr>
        <w:t>3. Types of visit and level of planning</w:t>
      </w:r>
    </w:p>
    <w:p>
      <w:pPr>
        <w:pStyle w:val="Heading 2"/>
      </w:pPr>
      <w:r>
        <w:rPr>
          <w:rtl w:val="0"/>
          <w:lang w:val="en-US"/>
        </w:rPr>
        <w:t>3.1 Local Learning Area</w:t>
      </w:r>
    </w:p>
    <w:p>
      <w:pPr>
        <w:pStyle w:val="Body"/>
      </w:pPr>
      <w:r>
        <w:rPr>
          <w:rtl w:val="0"/>
          <w:lang w:val="en-US"/>
        </w:rPr>
        <w:t>Routine visits within the school</w:t>
      </w:r>
      <w:r>
        <w:rPr>
          <w:rtl w:val="1"/>
        </w:rPr>
        <w:t>’</w:t>
      </w:r>
      <w:r>
        <w:rPr>
          <w:rtl w:val="0"/>
          <w:lang w:val="en-US"/>
        </w:rPr>
        <w:t>s defined Local Learning Area are treated as learning in a different classroom. They are covered by the school</w:t>
      </w:r>
      <w:r>
        <w:rPr>
          <w:rtl w:val="1"/>
        </w:rPr>
        <w:t>’</w:t>
      </w:r>
      <w:r>
        <w:rPr>
          <w:rtl w:val="0"/>
          <w:lang w:val="en-US"/>
        </w:rPr>
        <w:t>s Local Learning Area and Operating Procedure and normally require only proportionate planning, provided the route, activity and group are within the scope of that procedure.</w:t>
      </w:r>
    </w:p>
    <w:p>
      <w:pPr>
        <w:pStyle w:val="Heading 2"/>
      </w:pPr>
      <w:r>
        <w:rPr>
          <w:rtl w:val="0"/>
          <w:lang w:val="en-US"/>
        </w:rPr>
        <w:t>3.2 Routine day visits</w:t>
      </w:r>
    </w:p>
    <w:p>
      <w:pPr>
        <w:pStyle w:val="Body"/>
      </w:pPr>
      <w:r>
        <w:rPr>
          <w:rtl w:val="0"/>
          <w:lang w:val="en-US"/>
        </w:rPr>
        <w:t>Visits outside the Local Learning Area that involve an everyday level of risk require suitable planning and approval, including consideration of travel, supervision, medical needs, accessibility, emergency arrangements and any venue-specific risks.</w:t>
      </w:r>
    </w:p>
    <w:p>
      <w:pPr>
        <w:pStyle w:val="Heading 2"/>
      </w:pPr>
      <w:r>
        <w:rPr>
          <w:rtl w:val="0"/>
          <w:lang w:val="en-US"/>
        </w:rPr>
        <w:t>3.3 Visits requiring enhanced planning</w:t>
      </w:r>
    </w:p>
    <w:p>
      <w:pPr>
        <w:pStyle w:val="Body"/>
      </w:pPr>
      <w:r>
        <w:rPr>
          <w:rtl w:val="0"/>
          <w:lang w:val="en-US"/>
        </w:rPr>
        <w:t>Residential, overseas, adventurous, remote or otherwise higher-risk visits require enhanced planning, specific risk management and any additional approval required by the local authority, EVOLVE, the Headteacher or the Governing Body.</w:t>
      </w:r>
    </w:p>
    <w:p>
      <w:pPr>
        <w:pStyle w:val="Heading"/>
      </w:pPr>
      <w:r>
        <w:rPr>
          <w:rtl w:val="0"/>
          <w:lang w:val="en-US"/>
        </w:rPr>
        <w:t>4. Roles and responsibilities</w:t>
      </w:r>
    </w:p>
    <w:p>
      <w:pPr>
        <w:pStyle w:val="Heading 2"/>
      </w:pPr>
      <w:r>
        <w:rPr>
          <w:rtl w:val="0"/>
          <w:lang w:val="en-US"/>
        </w:rPr>
        <w:t>4.1 Headteacher</w:t>
      </w:r>
    </w:p>
    <w:p>
      <w:pPr>
        <w:pStyle w:val="List Bullet"/>
        <w:numPr>
          <w:ilvl w:val="0"/>
          <w:numId w:val="2"/>
        </w:numPr>
      </w:pPr>
      <w:r>
        <w:rPr>
          <w:rtl w:val="0"/>
          <w:lang w:val="en-US"/>
        </w:rPr>
        <w:t>Has overall responsibility for ensuring educational visits are appropriately planned, staffed and approved; ensures competent leadership and access to training; and decides whether a visit may proceed.</w:t>
      </w:r>
    </w:p>
    <w:p>
      <w:pPr>
        <w:pStyle w:val="Heading 2"/>
      </w:pPr>
      <w:r>
        <w:rPr>
          <w:rtl w:val="0"/>
          <w:lang w:val="en-US"/>
        </w:rPr>
        <w:t>4.2 Educational Visits Coordinator (EVC)</w:t>
      </w:r>
    </w:p>
    <w:p>
      <w:pPr>
        <w:pStyle w:val="List Bullet"/>
        <w:numPr>
          <w:ilvl w:val="0"/>
          <w:numId w:val="2"/>
        </w:numPr>
      </w:pPr>
      <w:r>
        <w:rPr>
          <w:rtl w:val="0"/>
          <w:lang w:val="en-US"/>
        </w:rPr>
        <w:t>Supports and challenges visit planning; checks that visit leaders are competent; advises on risk management, providers and approval routes; monitors compliance with school and local authority procedures; and promotes learning from completed visits.</w:t>
      </w:r>
    </w:p>
    <w:p>
      <w:pPr>
        <w:pStyle w:val="Heading 2"/>
      </w:pPr>
      <w:r>
        <w:rPr>
          <w:rtl w:val="0"/>
          <w:lang w:val="en-US"/>
        </w:rPr>
        <w:t>4.3 Visit leader</w:t>
      </w:r>
    </w:p>
    <w:p>
      <w:pPr>
        <w:pStyle w:val="List Bullet"/>
        <w:numPr>
          <w:ilvl w:val="0"/>
          <w:numId w:val="2"/>
        </w:numPr>
      </w:pPr>
      <w:r>
        <w:rPr>
          <w:rtl w:val="0"/>
          <w:lang w:val="en-US"/>
        </w:rPr>
        <w:t>Has day-to-day responsibility for planning and leading the visit, completing required documentation, ensuring effective supervision, briefing adults and pupils, checking medical and safeguarding information, and responding to changing circumstances.</w:t>
      </w:r>
    </w:p>
    <w:p>
      <w:pPr>
        <w:pStyle w:val="Heading 2"/>
      </w:pPr>
      <w:r>
        <w:rPr>
          <w:rtl w:val="0"/>
          <w:lang w:val="en-US"/>
        </w:rPr>
        <w:t>4.4 Staff and volunteers</w:t>
      </w:r>
    </w:p>
    <w:p>
      <w:pPr>
        <w:pStyle w:val="List Bullet"/>
        <w:numPr>
          <w:ilvl w:val="0"/>
          <w:numId w:val="2"/>
        </w:numPr>
      </w:pPr>
      <w:r>
        <w:rPr>
          <w:rtl w:val="0"/>
          <w:lang w:val="en-US"/>
        </w:rPr>
        <w:t>Follow the visit leader</w:t>
      </w:r>
      <w:r>
        <w:rPr>
          <w:rtl w:val="0"/>
          <w:lang w:val="en-US"/>
        </w:rPr>
        <w:t>’</w:t>
      </w:r>
      <w:r>
        <w:rPr>
          <w:rtl w:val="0"/>
          <w:lang w:val="en-US"/>
        </w:rPr>
        <w:t>s instructions, maintain appropriate supervision and professional conduct, understand emergency arrangements, safeguard pupils and report concerns promptly.</w:t>
      </w:r>
    </w:p>
    <w:p>
      <w:pPr>
        <w:pStyle w:val="Heading 2"/>
      </w:pPr>
      <w:r>
        <w:rPr>
          <w:rtl w:val="0"/>
          <w:lang w:val="it-IT"/>
        </w:rPr>
        <w:t>4.5 Pupils</w:t>
      </w:r>
    </w:p>
    <w:p>
      <w:pPr>
        <w:pStyle w:val="List Bullet"/>
        <w:numPr>
          <w:ilvl w:val="0"/>
          <w:numId w:val="2"/>
        </w:numPr>
      </w:pPr>
      <w:r>
        <w:rPr>
          <w:rtl w:val="0"/>
          <w:lang w:val="en-US"/>
        </w:rPr>
        <w:t>Follow instructions and the school Behaviour Policy, act responsibly, stay with their allocated group and tell an adult immediately if they have a concern or become separated.</w:t>
      </w:r>
    </w:p>
    <w:p>
      <w:pPr>
        <w:pStyle w:val="Heading"/>
      </w:pPr>
      <w:r>
        <w:rPr>
          <w:rtl w:val="0"/>
          <w:lang w:val="en-US"/>
        </w:rPr>
        <w:t>5. Planning and approval</w:t>
      </w:r>
    </w:p>
    <w:p>
      <w:pPr>
        <w:pStyle w:val="Body"/>
      </w:pPr>
      <w:r>
        <w:rPr>
          <w:rtl w:val="0"/>
          <w:lang w:val="en-US"/>
        </w:rPr>
        <w:t>Planning must be proportionate to the visit. The visit leader will establish a clear educational purpose and consider the destination, itinerary, travel, cost, staffing, accessibility, first aid, medical needs, safeguarding, communication, weather and emergency arrangements.</w:t>
      </w:r>
    </w:p>
    <w:p>
      <w:pPr>
        <w:pStyle w:val="List Bullet"/>
        <w:numPr>
          <w:ilvl w:val="0"/>
          <w:numId w:val="2"/>
        </w:numPr>
      </w:pPr>
      <w:r>
        <w:rPr>
          <w:rtl w:val="0"/>
          <w:lang w:val="en-US"/>
        </w:rPr>
        <w:t>All visits must be approved through the school</w:t>
      </w:r>
      <w:r>
        <w:rPr>
          <w:rtl w:val="0"/>
          <w:lang w:val="en-US"/>
        </w:rPr>
        <w:t>’</w:t>
      </w:r>
      <w:r>
        <w:rPr>
          <w:rtl w:val="0"/>
          <w:lang w:val="en-US"/>
        </w:rPr>
        <w:t>s agreed process before departure.</w:t>
      </w:r>
    </w:p>
    <w:p>
      <w:pPr>
        <w:pStyle w:val="List Bullet"/>
        <w:numPr>
          <w:ilvl w:val="0"/>
          <w:numId w:val="2"/>
        </w:numPr>
      </w:pPr>
      <w:r>
        <w:rPr>
          <w:rtl w:val="0"/>
          <w:lang w:val="en-US"/>
        </w:rPr>
        <w:t>The Trip Leader Checklist must be completed for visits as appropriate and key information must be available to the school office.</w:t>
      </w:r>
    </w:p>
    <w:p>
      <w:pPr>
        <w:pStyle w:val="List Bullet"/>
        <w:numPr>
          <w:ilvl w:val="0"/>
          <w:numId w:val="2"/>
        </w:numPr>
      </w:pPr>
      <w:r>
        <w:rPr>
          <w:rtl w:val="0"/>
          <w:lang w:val="en-US"/>
        </w:rPr>
        <w:t>Higher-risk, residential, overseas and adventurous visits must be entered on EVOLVE where required and submitted with sufficient time for scrutiny and approval.</w:t>
      </w:r>
    </w:p>
    <w:p>
      <w:pPr>
        <w:pStyle w:val="List Bullet"/>
        <w:numPr>
          <w:ilvl w:val="0"/>
          <w:numId w:val="2"/>
        </w:numPr>
      </w:pPr>
      <w:r>
        <w:rPr>
          <w:rtl w:val="0"/>
          <w:lang w:val="en-US"/>
        </w:rPr>
        <w:t>A preliminary visit is not mandatory in every case, but the visit leader must have sufficient reliable information to plan safely. A preliminary visit should be considered when the venue, route or activity is unfamiliar or complex.</w:t>
      </w:r>
    </w:p>
    <w:p>
      <w:pPr>
        <w:pStyle w:val="Heading"/>
      </w:pPr>
      <w:r>
        <w:rPr>
          <w:rtl w:val="0"/>
          <w:lang w:val="en-US"/>
        </w:rPr>
        <w:t>6. Risk management, supervision and first aid</w:t>
      </w:r>
    </w:p>
    <w:p>
      <w:pPr>
        <w:pStyle w:val="Body"/>
      </w:pPr>
      <w:r>
        <w:rPr>
          <w:rtl w:val="0"/>
          <w:lang w:val="en-US"/>
        </w:rPr>
        <w:t>Risk management must be sensible and proportionate, focusing on genuine risks rather than attempting to eliminate all uncertainty. For routine activities, existing procedures and generic controls may be sufficient. Where the activity, venue or group creates additional risk, the visit leader will record specific controls.</w:t>
      </w:r>
    </w:p>
    <w:p>
      <w:pPr>
        <w:pStyle w:val="Body"/>
      </w:pPr>
      <w:r>
        <w:rPr>
          <w:rtl w:val="0"/>
          <w:lang w:val="en-US"/>
        </w:rPr>
        <w:t>There is no single fixed adult-to-pupil ratio that is suitable for every visit. Staffing will be determined by a risk assessment that considers pupils</w:t>
      </w:r>
      <w:r>
        <w:rPr>
          <w:rtl w:val="1"/>
        </w:rPr>
        <w:t xml:space="preserve">’ </w:t>
      </w:r>
      <w:r>
        <w:rPr>
          <w:rtl w:val="0"/>
          <w:lang w:val="en-US"/>
        </w:rPr>
        <w:t>age, needs and behaviour; the environment and activity; travel; staff competence; medical requirements; and the experience of the group.</w:t>
      </w:r>
    </w:p>
    <w:p>
      <w:pPr>
        <w:pStyle w:val="List Bullet"/>
        <w:numPr>
          <w:ilvl w:val="0"/>
          <w:numId w:val="2"/>
        </w:numPr>
      </w:pPr>
      <w:r>
        <w:rPr>
          <w:rtl w:val="0"/>
          <w:lang w:val="en-US"/>
        </w:rPr>
        <w:t>For EYFS outings, staffing and paediatric first-aid arrangements will meet current EYFS requirements.</w:t>
      </w:r>
    </w:p>
    <w:p>
      <w:pPr>
        <w:pStyle w:val="List Bullet"/>
        <w:numPr>
          <w:ilvl w:val="0"/>
          <w:numId w:val="2"/>
        </w:numPr>
      </w:pPr>
      <w:r>
        <w:rPr>
          <w:rtl w:val="0"/>
          <w:lang w:val="en-US"/>
        </w:rPr>
        <w:t>Suitable first-aid provision will be available. The visit leader will ensure that relevant medication, emergency plans and medical information accompany the group and remain accessible.</w:t>
      </w:r>
    </w:p>
    <w:p>
      <w:pPr>
        <w:pStyle w:val="List Bullet"/>
        <w:numPr>
          <w:ilvl w:val="0"/>
          <w:numId w:val="2"/>
        </w:numPr>
      </w:pPr>
      <w:r>
        <w:rPr>
          <w:rtl w:val="0"/>
          <w:lang w:val="en-US"/>
        </w:rPr>
        <w:t>Regular headcounts or roll calls will be carried out at appropriate points, including before departure, after transitions and before leaving a venue.</w:t>
      </w:r>
    </w:p>
    <w:p>
      <w:pPr>
        <w:pStyle w:val="List Bullet"/>
        <w:numPr>
          <w:ilvl w:val="0"/>
          <w:numId w:val="2"/>
        </w:numPr>
      </w:pPr>
      <w:r>
        <w:rPr>
          <w:rtl w:val="0"/>
          <w:lang w:val="en-US"/>
        </w:rPr>
        <w:t>Staff will continue to make dynamic risk assessments during the visit and will adapt or stop an activity if circumstances make this necessary.</w:t>
      </w:r>
    </w:p>
    <w:p>
      <w:pPr>
        <w:pStyle w:val="Heading"/>
      </w:pPr>
      <w:r>
        <w:rPr>
          <w:rtl w:val="0"/>
          <w:lang w:val="en-US"/>
        </w:rPr>
        <w:t>7. Safeguarding, inclusion and equality</w:t>
      </w:r>
    </w:p>
    <w:p>
      <w:pPr>
        <w:pStyle w:val="Body"/>
      </w:pPr>
      <w:r>
        <w:rPr>
          <w:rtl w:val="0"/>
          <w:lang w:val="en-US"/>
        </w:rPr>
        <w:t>The school</w:t>
      </w:r>
      <w:r>
        <w:rPr>
          <w:rtl w:val="1"/>
        </w:rPr>
        <w:t>’</w:t>
      </w:r>
      <w:r>
        <w:rPr>
          <w:rtl w:val="0"/>
          <w:lang w:val="en-US"/>
        </w:rPr>
        <w:t>s safeguarding expectations apply in full during educational visits. Adults must follow the Staff Code of Conduct and volunteers must follow instructions from school staff. Adults who have not completed the required safeguarding checks must not be placed in unsupervised charge of pupils.</w:t>
      </w:r>
    </w:p>
    <w:p>
      <w:pPr>
        <w:pStyle w:val="Body"/>
      </w:pPr>
      <w:r>
        <w:rPr>
          <w:rtl w:val="0"/>
          <w:lang w:val="en-US"/>
        </w:rPr>
        <w:t>The school will take reasonable steps to enable all pupils to participate. Planning will take account of SEND, disability, medical conditions, allergies, sensory needs, religious requirements and other individual circumstances. Reasonable adjustments and additional support will be considered in discussion with families and relevant staff.</w:t>
      </w:r>
    </w:p>
    <w:p>
      <w:pPr>
        <w:pStyle w:val="Body"/>
      </w:pPr>
      <w:r>
        <w:rPr>
          <w:rtl w:val="0"/>
          <w:lang w:val="en-US"/>
        </w:rPr>
        <w:t>Pupils will not be excluded from a visit simply because additional planning or reasonable adjustment is required.</w:t>
      </w:r>
    </w:p>
    <w:p>
      <w:pPr>
        <w:pStyle w:val="Heading"/>
      </w:pPr>
      <w:r>
        <w:rPr>
          <w:rtl w:val="0"/>
          <w:lang w:val="en-US"/>
        </w:rPr>
        <w:t>8. External providers and transport</w:t>
      </w:r>
    </w:p>
    <w:p>
      <w:pPr>
        <w:pStyle w:val="Body"/>
      </w:pPr>
      <w:r>
        <w:rPr>
          <w:rtl w:val="0"/>
          <w:lang w:val="en-US"/>
        </w:rPr>
        <w:t>Where an external organisation provides activities, the school will check that it has appropriate safety standards, safeguarding arrangements and public liability insurance. A current Learning Outside the Classroom Quality Badge may be accepted as evidence for the areas it covers; where a provider does not hold one, appropriate additional checks will be made.</w:t>
      </w:r>
    </w:p>
    <w:p>
      <w:pPr>
        <w:pStyle w:val="Body"/>
      </w:pPr>
      <w:r>
        <w:rPr>
          <w:rtl w:val="0"/>
          <w:lang w:val="en-US"/>
        </w:rPr>
        <w:t>Transport arrangements must be safe, lawful and suitable for the group. Seat belts and child restraints will be used where legally required. Drivers, vehicles and operators used by the school must meet applicable requirements. Unless otherwise agreed with families, school-arranged transport will normally depart from and return to the school site.</w:t>
      </w:r>
    </w:p>
    <w:p>
      <w:pPr>
        <w:pStyle w:val="Heading"/>
      </w:pPr>
      <w:r>
        <w:rPr>
          <w:rtl w:val="0"/>
          <w:lang w:val="en-US"/>
        </w:rPr>
        <w:t>9. Communication and consent</w:t>
      </w:r>
    </w:p>
    <w:p>
      <w:pPr>
        <w:pStyle w:val="Body"/>
      </w:pPr>
      <w:r>
        <w:rPr>
          <w:rtl w:val="0"/>
          <w:lang w:val="en-US"/>
        </w:rPr>
        <w:t>Parents and carers will receive sufficient information about visits to understand the purpose, timing, destination, travel arrangements, costs, clothing or equipment requirements and any significant features of the activity.</w:t>
      </w:r>
    </w:p>
    <w:p>
      <w:pPr>
        <w:pStyle w:val="Body"/>
      </w:pPr>
      <w:r>
        <w:rPr>
          <w:rtl w:val="0"/>
          <w:lang w:val="en-US"/>
        </w:rPr>
        <w:t>Written consent is not normally required for most curriculum visits for pupils above nursery age where the activity is within normal school hours and involves no more than an everyday level of risk, although parents will be informed. Written consent will be obtained where required, including for nursery-age children, visits outside normal school hours and activities requiring a higher level of risk assessment.</w:t>
      </w:r>
    </w:p>
    <w:p>
      <w:pPr>
        <w:pStyle w:val="Body"/>
      </w:pPr>
      <w:r>
        <w:rPr>
          <w:rtl w:val="0"/>
          <w:lang w:val="en-US"/>
        </w:rPr>
        <w:t>Parents and carers are responsible for keeping the school informed of relevant medical information, allergies, medication and emergency contact details.</w:t>
      </w:r>
    </w:p>
    <w:p>
      <w:pPr>
        <w:pStyle w:val="Heading"/>
      </w:pPr>
      <w:r>
        <w:rPr>
          <w:rtl w:val="0"/>
          <w:lang w:val="en-US"/>
        </w:rPr>
        <w:t>10. Emergency procedures and incident reporting</w:t>
      </w:r>
    </w:p>
    <w:p>
      <w:pPr>
        <w:pStyle w:val="Body"/>
      </w:pPr>
      <w:r>
        <w:rPr>
          <w:rtl w:val="0"/>
          <w:lang w:val="en-US"/>
        </w:rPr>
        <w:t>Every visit will have an appropriate emergency plan and a named school contact who can be reached while the visit is taking place. The visit leader will carry essential contact information and know how to obtain emergency assistance.</w:t>
      </w:r>
    </w:p>
    <w:p>
      <w:pPr>
        <w:pStyle w:val="Body"/>
      </w:pPr>
      <w:r>
        <w:rPr>
          <w:rtl w:val="0"/>
          <w:lang w:val="en-US"/>
        </w:rPr>
        <w:t>If a pupil is missing or unaccounted for, staff will immediately implement the visit</w:t>
      </w:r>
      <w:r>
        <w:rPr>
          <w:rtl w:val="1"/>
        </w:rPr>
        <w:t>’</w:t>
      </w:r>
      <w:r>
        <w:rPr>
          <w:rtl w:val="0"/>
          <w:lang w:val="en-US"/>
        </w:rPr>
        <w:t>s missing-child procedure: secure and supervise the rest of the group, check the immediate area, alert the venue where relevant, contact the school and involve the police or emergency services without delay when the circumstances require it. Staff must not wait for an arbitrary period if there is a genuine safeguarding risk.</w:t>
      </w:r>
    </w:p>
    <w:p>
      <w:pPr>
        <w:pStyle w:val="Body"/>
      </w:pPr>
      <w:r>
        <w:rPr>
          <w:rtl w:val="0"/>
          <w:lang w:val="en-US"/>
        </w:rPr>
        <w:t>Accidents, safeguarding concerns, near misses and significant incidents will be reported and recorded in line with school procedures and statutory reporting requirements. Parents and relevant agencies will be informed where appropriate.</w:t>
      </w:r>
    </w:p>
    <w:p>
      <w:pPr>
        <w:pStyle w:val="Heading"/>
      </w:pPr>
      <w:r>
        <w:rPr>
          <w:rtl w:val="0"/>
          <w:lang w:val="en-US"/>
        </w:rPr>
        <w:t>11. Charging, insurance and financial considerations</w:t>
      </w:r>
    </w:p>
    <w:p>
      <w:pPr>
        <w:pStyle w:val="Body"/>
      </w:pPr>
      <w:r>
        <w:rPr>
          <w:rtl w:val="0"/>
          <w:lang w:val="en-US"/>
        </w:rPr>
        <w:t>The school will follow its Charging and Remissions Policy. Where voluntary contributions are requested, pupils will not be excluded from a curriculum visit because their family is unable or unwilling to contribute. Residential charges and any permitted charges will be handled in accordance with the school</w:t>
      </w:r>
      <w:r>
        <w:rPr>
          <w:rtl w:val="1"/>
        </w:rPr>
        <w:t>’</w:t>
      </w:r>
      <w:r>
        <w:rPr>
          <w:rtl w:val="0"/>
          <w:lang w:val="en-US"/>
        </w:rPr>
        <w:t>s policy and statutory requirements.</w:t>
      </w:r>
    </w:p>
    <w:p>
      <w:pPr>
        <w:pStyle w:val="Body"/>
      </w:pPr>
      <w:r>
        <w:rPr>
          <w:rtl w:val="0"/>
          <w:lang w:val="en-US"/>
        </w:rPr>
        <w:t>The school will ensure that appropriate insurance arrangements are in place for the nature of the visit and will check any provider-specific requirements before commitments are made.</w:t>
      </w:r>
    </w:p>
    <w:p>
      <w:pPr>
        <w:pStyle w:val="Heading"/>
      </w:pPr>
      <w:r>
        <w:rPr>
          <w:rtl w:val="0"/>
          <w:lang w:val="en-US"/>
        </w:rPr>
        <w:t>12. Residential, adventurous and overseas visits</w:t>
      </w:r>
    </w:p>
    <w:p>
      <w:pPr>
        <w:pStyle w:val="Body"/>
      </w:pPr>
      <w:r>
        <w:rPr>
          <w:rtl w:val="0"/>
          <w:lang w:val="en-US"/>
        </w:rPr>
        <w:t>These visits require additional scrutiny because of their duration, complexity or risk profile. Planning will address accommodation, supervision overnight, safeguarding, medical arrangements, travel, insurance, emergency contacts, provider competence and contingency arrangements.</w:t>
      </w:r>
    </w:p>
    <w:p>
      <w:pPr>
        <w:pStyle w:val="Body"/>
      </w:pPr>
      <w:r>
        <w:rPr>
          <w:rtl w:val="0"/>
          <w:lang w:val="en-US"/>
        </w:rPr>
        <w:t>Adventurous activities will only be undertaken where they have been approved in advance and are led by suitably competent staff or providers. Activities will not be added informally during a visit if they fall outside the approved plan.</w:t>
      </w:r>
    </w:p>
    <w:p>
      <w:pPr>
        <w:pStyle w:val="Body"/>
      </w:pPr>
      <w:r>
        <w:rPr>
          <w:rtl w:val="0"/>
          <w:lang w:val="en-US"/>
        </w:rPr>
        <w:t>Overseas visits will also take account of current Foreign, Commonwealth &amp; Development Office travel advice, health requirements, passports or travel documents and arrangements for emergencies abroad.</w:t>
      </w:r>
    </w:p>
    <w:p>
      <w:pPr>
        <w:pStyle w:val="Heading"/>
      </w:pPr>
      <w:r>
        <w:rPr>
          <w:rtl w:val="0"/>
          <w:lang w:val="en-US"/>
        </w:rPr>
        <w:t>13. Evaluation, records and review</w:t>
      </w:r>
    </w:p>
    <w:p>
      <w:pPr>
        <w:pStyle w:val="Body"/>
      </w:pPr>
      <w:r>
        <w:rPr>
          <w:rtl w:val="0"/>
          <w:lang w:val="en-US"/>
        </w:rPr>
        <w:t>The visit leader and EVC will evaluate visits proportionately, particularly where there were incidents, near misses, changes to the plan or useful learning for future visits. Relevant records will be retained in accordance with school and local authority procedures.</w:t>
      </w:r>
    </w:p>
    <w:p>
      <w:pPr>
        <w:pStyle w:val="Body"/>
      </w:pPr>
      <w:r>
        <w:rPr>
          <w:rtl w:val="0"/>
          <w:lang w:val="en-US"/>
        </w:rPr>
        <w:t>This policy will be reviewed annually and sooner following a significant incident, a material change to statutory or local authority guidance, or a change in the school</w:t>
      </w:r>
      <w:r>
        <w:rPr>
          <w:rtl w:val="1"/>
        </w:rPr>
        <w:t>’</w:t>
      </w:r>
      <w:r>
        <w:rPr>
          <w:rtl w:val="0"/>
          <w:lang w:val="en-US"/>
        </w:rPr>
        <w:t>s educational visits arrangements.</w:t>
      </w:r>
    </w:p>
    <w:p>
      <w:pPr>
        <w:pStyle w:val="Heading"/>
      </w:pPr>
      <w:r>
        <w:rPr>
          <w:rtl w:val="0"/>
          <w:lang w:val="en-US"/>
        </w:rPr>
        <w:t>14. Related guidance</w:t>
      </w:r>
    </w:p>
    <w:p>
      <w:pPr>
        <w:pStyle w:val="List Bullet"/>
        <w:numPr>
          <w:ilvl w:val="0"/>
          <w:numId w:val="2"/>
        </w:numPr>
      </w:pPr>
      <w:r>
        <w:rPr>
          <w:rtl w:val="0"/>
          <w:lang w:val="en-US"/>
        </w:rPr>
        <w:t>Department for Education: Health and safety on educational visits.</w:t>
      </w:r>
    </w:p>
    <w:p>
      <w:pPr>
        <w:pStyle w:val="List Bullet"/>
        <w:numPr>
          <w:ilvl w:val="0"/>
          <w:numId w:val="2"/>
        </w:numPr>
      </w:pPr>
      <w:r>
        <w:rPr>
          <w:rtl w:val="0"/>
          <w:lang w:val="en-US"/>
        </w:rPr>
        <w:t>Department for Education: Health and safety responsibilities and duties for schools.</w:t>
      </w:r>
    </w:p>
    <w:p>
      <w:pPr>
        <w:pStyle w:val="List Bullet"/>
        <w:numPr>
          <w:ilvl w:val="0"/>
          <w:numId w:val="2"/>
        </w:numPr>
      </w:pPr>
      <w:r>
        <w:rPr>
          <w:rtl w:val="0"/>
          <w:lang w:val="en-US"/>
        </w:rPr>
        <w:t>Keeping Children Safe in Education 2026.</w:t>
      </w:r>
    </w:p>
    <w:p>
      <w:pPr>
        <w:pStyle w:val="List Bullet"/>
        <w:numPr>
          <w:ilvl w:val="0"/>
          <w:numId w:val="2"/>
        </w:numPr>
      </w:pPr>
      <w:r>
        <w:rPr>
          <w:rtl w:val="0"/>
          <w:lang w:val="en-US"/>
        </w:rPr>
        <w:t>OEAP National Guidance: Guidance for the management of outdoor learning, off-site visits and learning outside the classroom.</w:t>
      </w:r>
    </w:p>
    <w:p>
      <w:pPr>
        <w:pStyle w:val="List Bullet"/>
        <w:numPr>
          <w:ilvl w:val="0"/>
          <w:numId w:val="2"/>
        </w:numPr>
      </w:pPr>
      <w:r>
        <w:rPr>
          <w:rtl w:val="0"/>
          <w:lang w:val="en-US"/>
        </w:rPr>
        <w:t>Essex County Council educational visits / EVOLVE procedures, where applicable.</w:t>
      </w:r>
    </w:p>
    <w:sectPr>
      <w:headerReference w:type="default" r:id="rId5"/>
      <w:footerReference w:type="default" r:id="rId6"/>
      <w:pgSz w:w="12240" w:h="15840" w:orient="portrait"/>
      <w:pgMar w:top="792" w:right="1037" w:bottom="835" w:left="1037" w:header="288" w:footer="403"/>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ptos">
    <w:charset w:val="00"/>
    <w:family w:val="roman"/>
    <w:pitch w:val="default"/>
  </w:font>
  <w:font w:name="Aptos Display">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pBdr>
        <w:top w:val="single" w:color="3e2b8f" w:sz="8" w:space="0" w:shadow="0" w:frame="0"/>
        <w:left w:val="nil"/>
        <w:bottom w:val="nil"/>
        <w:right w:val="nil"/>
      </w:pBdr>
      <w:jc w:val="center"/>
    </w:pPr>
    <w:r>
      <w:rPr>
        <w:outline w:val="0"/>
        <w:color w:val="6b7280"/>
        <w:sz w:val="16"/>
        <w:szCs w:val="16"/>
        <w:u w:color="6b7280"/>
        <w:rtl w:val="0"/>
        <w:lang w:val="en-US"/>
        <w14:textFill>
          <w14:solidFill>
            <w14:srgbClr w14:val="6B7280"/>
          </w14:solidFill>
        </w14:textFill>
      </w:rPr>
      <w:t>MANUDEN PRIMARY SCHOOL  |  Educational Visits Policy  |  2026</w:t>
    </w:r>
    <w:r>
      <w:rPr>
        <w:outline w:val="0"/>
        <w:color w:val="6b7280"/>
        <w:sz w:val="16"/>
        <w:szCs w:val="16"/>
        <w:u w:color="6b7280"/>
        <w:rtl w:val="0"/>
        <w:lang w:val="en-US"/>
        <w14:textFill>
          <w14:solidFill>
            <w14:srgbClr w14:val="6B7280"/>
          </w14:solidFill>
        </w14:textFill>
      </w:rPr>
      <w:t>–</w:t>
    </w:r>
    <w:r>
      <w:rPr>
        <w:outline w:val="0"/>
        <w:color w:val="6b7280"/>
        <w:sz w:val="16"/>
        <w:szCs w:val="16"/>
        <w:u w:color="6b7280"/>
        <w:rtl w:val="0"/>
        <w:lang w:val="en-US"/>
        <w14:textFill>
          <w14:solidFill>
            <w14:srgbClr w14:val="6B7280"/>
          </w14:solidFill>
        </w14:textFill>
      </w:rPr>
      <w:t>27</w:t>
    </w:r>
  </w:p>
  <w:p>
    <w:pPr>
      <w:pStyle w:val="Body"/>
      <w:spacing w:before="20" w:after="0"/>
      <w:jc w:val="center"/>
    </w:pPr>
    <w:r>
      <w:rPr>
        <w:outline w:val="0"/>
        <w:color w:val="5f6b7a"/>
        <w:sz w:val="14"/>
        <w:szCs w:val="14"/>
        <w:u w:color="5f6b7a"/>
        <w:rtl w:val="0"/>
        <w:lang w:val="de-DE"/>
        <w14:textFill>
          <w14:solidFill>
            <w14:srgbClr w14:val="5F6B7A"/>
          </w14:solidFill>
        </w14:textFill>
      </w:rPr>
      <w:t>www.manudenprimary.co.uk  |  office@manuden.essex.sch.uk</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Aptos" w:cs="Aptos" w:hAnsi="Aptos" w:eastAsia="Aptos"/>
      <w:b w:val="0"/>
      <w:bCs w:val="0"/>
      <w:i w:val="0"/>
      <w:iCs w:val="0"/>
      <w:caps w:val="0"/>
      <w:smallCaps w:val="0"/>
      <w:strike w:val="0"/>
      <w:dstrike w:val="0"/>
      <w:outline w:val="0"/>
      <w:color w:val="25324a"/>
      <w:spacing w:val="0"/>
      <w:kern w:val="0"/>
      <w:position w:val="0"/>
      <w:sz w:val="21"/>
      <w:szCs w:val="21"/>
      <w:u w:val="none" w:color="25324a"/>
      <w:shd w:val="nil" w:color="auto" w:fill="auto"/>
      <w:vertAlign w:val="baseline"/>
      <w:lang w:val="en-US"/>
      <w14:textFill>
        <w14:solidFill>
          <w14:srgbClr w14:val="25324A"/>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00" w:line="259" w:lineRule="auto"/>
      <w:ind w:left="0" w:right="0" w:firstLine="0"/>
      <w:jc w:val="left"/>
      <w:outlineLvl w:val="9"/>
    </w:pPr>
    <w:rPr>
      <w:rFonts w:ascii="Aptos" w:cs="Aptos" w:hAnsi="Aptos" w:eastAsia="Aptos"/>
      <w:b w:val="0"/>
      <w:bCs w:val="0"/>
      <w:i w:val="0"/>
      <w:iCs w:val="0"/>
      <w:caps w:val="0"/>
      <w:smallCaps w:val="0"/>
      <w:strike w:val="0"/>
      <w:dstrike w:val="0"/>
      <w:outline w:val="0"/>
      <w:color w:val="25324a"/>
      <w:spacing w:val="0"/>
      <w:kern w:val="0"/>
      <w:position w:val="0"/>
      <w:sz w:val="21"/>
      <w:szCs w:val="21"/>
      <w:u w:val="none" w:color="25324a"/>
      <w:shd w:val="nil" w:color="auto" w:fill="auto"/>
      <w:vertAlign w:val="baseline"/>
      <w:lang w:val="de-DE"/>
      <w14:textOutline>
        <w14:noFill/>
      </w14:textOutline>
      <w14:textFill>
        <w14:solidFill>
          <w14:srgbClr w14:val="25324A"/>
        </w14:solidFill>
      </w14:textFill>
    </w:rPr>
  </w:style>
  <w:style w:type="paragraph" w:styleId="Heading">
    <w:name w:val="Heading"/>
    <w:next w:val="Body"/>
    <w:pPr>
      <w:keepNext w:val="1"/>
      <w:keepLines w:val="1"/>
      <w:pageBreakBefore w:val="0"/>
      <w:widowControl w:val="1"/>
      <w:shd w:val="clear" w:color="auto" w:fill="auto"/>
      <w:suppressAutoHyphens w:val="0"/>
      <w:bidi w:val="0"/>
      <w:spacing w:before="200" w:after="80" w:line="259" w:lineRule="auto"/>
      <w:ind w:left="0" w:right="0" w:firstLine="0"/>
      <w:jc w:val="left"/>
      <w:outlineLvl w:val="0"/>
    </w:pPr>
    <w:rPr>
      <w:rFonts w:ascii="Aptos" w:cs="Aptos" w:hAnsi="Aptos" w:eastAsia="Aptos"/>
      <w:b w:val="1"/>
      <w:bCs w:val="1"/>
      <w:i w:val="0"/>
      <w:iCs w:val="0"/>
      <w:caps w:val="0"/>
      <w:smallCaps w:val="0"/>
      <w:strike w:val="0"/>
      <w:dstrike w:val="0"/>
      <w:outline w:val="0"/>
      <w:color w:val="3e2b8f"/>
      <w:spacing w:val="0"/>
      <w:kern w:val="0"/>
      <w:position w:val="0"/>
      <w:sz w:val="30"/>
      <w:szCs w:val="30"/>
      <w:u w:val="none" w:color="3e2b8f"/>
      <w:shd w:val="nil" w:color="auto" w:fill="auto"/>
      <w:vertAlign w:val="baseline"/>
      <w:lang w:val="en-US"/>
      <w14:textOutline>
        <w14:noFill/>
      </w14:textOutline>
      <w14:textFill>
        <w14:solidFill>
          <w14:srgbClr w14:val="3E2B8F"/>
        </w14:solidFill>
      </w14:textFill>
    </w:rPr>
  </w:style>
  <w:style w:type="paragraph" w:styleId="Heading 2">
    <w:name w:val="Heading 2"/>
    <w:next w:val="Body"/>
    <w:pPr>
      <w:keepNext w:val="1"/>
      <w:keepLines w:val="1"/>
      <w:pageBreakBefore w:val="0"/>
      <w:widowControl w:val="1"/>
      <w:shd w:val="clear" w:color="auto" w:fill="auto"/>
      <w:suppressAutoHyphens w:val="0"/>
      <w:bidi w:val="0"/>
      <w:spacing w:before="140" w:after="80" w:line="259" w:lineRule="auto"/>
      <w:ind w:left="0" w:right="0" w:firstLine="0"/>
      <w:jc w:val="left"/>
      <w:outlineLvl w:val="1"/>
    </w:pPr>
    <w:rPr>
      <w:rFonts w:ascii="Aptos" w:cs="Aptos" w:hAnsi="Aptos" w:eastAsia="Aptos"/>
      <w:b w:val="1"/>
      <w:bCs w:val="1"/>
      <w:i w:val="0"/>
      <w:iCs w:val="0"/>
      <w:caps w:val="0"/>
      <w:smallCaps w:val="0"/>
      <w:strike w:val="0"/>
      <w:dstrike w:val="0"/>
      <w:outline w:val="0"/>
      <w:color w:val="25324a"/>
      <w:spacing w:val="0"/>
      <w:kern w:val="0"/>
      <w:position w:val="0"/>
      <w:sz w:val="24"/>
      <w:szCs w:val="24"/>
      <w:u w:val="none" w:color="25324a"/>
      <w:shd w:val="nil" w:color="auto" w:fill="auto"/>
      <w:vertAlign w:val="baseline"/>
      <w:lang w:val="en-US"/>
      <w14:textOutline>
        <w14:noFill/>
      </w14:textOutline>
      <w14:textFill>
        <w14:solidFill>
          <w14:srgbClr w14:val="25324A"/>
        </w14:solidFill>
      </w14:textFill>
    </w:rPr>
  </w:style>
  <w:style w:type="paragraph" w:styleId="List Bullet">
    <w:name w:val="List Bullet"/>
    <w:next w:val="List Bullet"/>
    <w:pPr>
      <w:keepNext w:val="0"/>
      <w:keepLines w:val="0"/>
      <w:pageBreakBefore w:val="0"/>
      <w:widowControl w:val="1"/>
      <w:shd w:val="clear" w:color="auto" w:fill="auto"/>
      <w:tabs>
        <w:tab w:val="left" w:pos="360"/>
      </w:tabs>
      <w:suppressAutoHyphens w:val="0"/>
      <w:bidi w:val="0"/>
      <w:spacing w:before="0" w:after="100" w:line="259" w:lineRule="auto"/>
      <w:ind w:left="0" w:right="0" w:firstLine="0"/>
      <w:jc w:val="left"/>
      <w:outlineLvl w:val="9"/>
    </w:pPr>
    <w:rPr>
      <w:rFonts w:ascii="Aptos" w:cs="Aptos" w:hAnsi="Aptos" w:eastAsia="Aptos"/>
      <w:b w:val="0"/>
      <w:bCs w:val="0"/>
      <w:i w:val="0"/>
      <w:iCs w:val="0"/>
      <w:caps w:val="0"/>
      <w:smallCaps w:val="0"/>
      <w:strike w:val="0"/>
      <w:dstrike w:val="0"/>
      <w:outline w:val="0"/>
      <w:color w:val="25324a"/>
      <w:spacing w:val="0"/>
      <w:kern w:val="0"/>
      <w:position w:val="0"/>
      <w:sz w:val="21"/>
      <w:szCs w:val="21"/>
      <w:u w:val="none" w:color="25324a"/>
      <w:shd w:val="nil" w:color="auto" w:fill="auto"/>
      <w:vertAlign w:val="baseline"/>
      <w:lang w:val="en-US"/>
      <w14:textFill>
        <w14:solidFill>
          <w14:srgbClr w14:val="25324A"/>
        </w14:solidFill>
      </w14:textFill>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