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12B91D34"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rFonts w:ascii="Aptos Display" w:hAnsi="Aptos Display"/>
                <w:b/>
                <w:sz w:val="22"/>
              </w:rPr>
              <w:br/>
              <w:t>STATUTORY PLAN</w:t>
            </w:r>
          </w:p>
        </w:tc>
      </w:tr>
    </w:tbl>
    <w:p w14:paraId="62A214DA" w14:textId="77777777" w:rsidR="008A0BF7" w:rsidRDefault="00D00288">
      <w:pPr>
        <w:spacing w:after="120"/>
        <w:jc w:val="center"/>
        <w:rPr>
          <w:rFonts w:hint="eastAsia"/>
        </w:rPr>
      </w:pPr>
      <w:r>
        <w:rPr>
          <w:noProof/>
        </w:rPr>
        <w:drawing>
          <wp:inline distT="0" distB="0" distL="0" distR="0" wp14:anchorId="326B284B" wp14:editId="53F5A59A">
            <wp:extent cx="1188720"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e687b-efa3-5432-a701-f686e1b41e30.png"/>
                    <pic:cNvPicPr/>
                  </pic:nvPicPr>
                  <pic:blipFill>
                    <a:blip r:embed="rId8"/>
                    <a:stretch>
                      <a:fillRect/>
                    </a:stretch>
                  </pic:blipFill>
                  <pic:spPr>
                    <a:xfrm>
                      <a:off x="0" y="0"/>
                      <a:ext cx="1188720" cy="1188720"/>
                    </a:xfrm>
                    <a:prstGeom prst="rect">
                      <a:avLst/>
                    </a:prstGeom>
                  </pic:spPr>
                </pic:pic>
              </a:graphicData>
            </a:graphic>
          </wp:inline>
        </w:drawing>
      </w:r>
    </w:p>
    <w:p w14:paraId="7F06DB8A" w14:textId="77777777" w:rsidR="008A0BF7" w:rsidRDefault="008A0BF7">
      <w:pPr>
        <w:pBdr>
          <w:bottom w:val="single" w:sz="24" w:space="3" w:color="F3C300"/>
        </w:pBdr>
        <w:spacing w:before="60" w:line="252" w:lineRule="auto"/>
        <w:rPr>
          <w:rFonts w:hint="eastAsia"/>
        </w:rPr>
      </w:pPr>
    </w:p>
    <w:p w14:paraId="45212FFF" w14:textId="77777777" w:rsidR="008A0BF7" w:rsidRDefault="00D00288">
      <w:pPr>
        <w:spacing w:line="252" w:lineRule="auto"/>
        <w:jc w:val="center"/>
        <w:rPr>
          <w:rFonts w:hint="eastAsia"/>
        </w:rPr>
      </w:pPr>
      <w:r>
        <w:rPr>
          <w:rFonts w:ascii="Aptos Display" w:eastAsia="Aptos Display" w:hAnsi="Aptos Display" w:cs="Aptos Display"/>
          <w:b/>
          <w:color w:val="3E2B8F"/>
          <w:sz w:val="48"/>
        </w:rPr>
        <w:t>ACCESSIBILITY PLAN</w:t>
      </w:r>
    </w:p>
    <w:p w14:paraId="253B3503" w14:textId="77777777" w:rsidR="008A0BF7" w:rsidRDefault="00D00288">
      <w:pPr>
        <w:spacing w:line="252" w:lineRule="auto"/>
        <w:jc w:val="center"/>
        <w:rPr>
          <w:rFonts w:hint="eastAsia"/>
        </w:rPr>
      </w:pPr>
      <w:r>
        <w:rPr>
          <w:rFonts w:ascii="Aptos Display" w:eastAsia="Aptos" w:hAnsi="Aptos Display" w:cs="Aptos"/>
          <w:b/>
          <w:sz w:val="26"/>
        </w:rPr>
        <w:t>2026–2029</w:t>
      </w:r>
    </w:p>
    <w:p w14:paraId="6B6D72BA" w14:textId="77777777" w:rsidR="008A0BF7" w:rsidRDefault="00D00288">
      <w:pPr>
        <w:spacing w:line="252" w:lineRule="auto"/>
        <w:jc w:val="center"/>
        <w:rPr>
          <w:rFonts w:hint="eastAsia"/>
        </w:rPr>
      </w:pPr>
      <w:r>
        <w:rPr>
          <w:rFonts w:ascii="Aptos Display" w:eastAsia="Aptos" w:hAnsi="Aptos Display" w:cs="Aptos"/>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spacing w:line="252" w:lineRule="auto"/>
        <w:jc w:val="center"/>
        <w:rPr>
          <w:rFonts w:hint="eastAsia"/>
        </w:rPr>
      </w:pPr>
      <w:r>
        <w:rPr>
          <w:rFonts w:ascii="Aptos Display" w:eastAsia="Aptos" w:hAnsi="Aptos Display" w:cs="Aptos"/>
          <w:b/>
          <w:sz w:val="22"/>
        </w:rPr>
        <w:t>PLAN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spacing w:after="0"/>
              <w:rPr>
                <w:rFonts w:hint="eastAsia"/>
              </w:rPr>
            </w:pPr>
            <w:r>
              <w:rPr>
                <w:b/>
                <w:sz w:val="19"/>
              </w:rPr>
              <w:t>Plan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spacing w:after="0"/>
              <w:rPr>
                <w:rFonts w:hint="eastAsia"/>
              </w:rPr>
            </w:pPr>
            <w:r>
              <w:rPr>
                <w:sz w:val="19"/>
              </w:rPr>
              <w:t xml:space="preserve">Phil Molyneux – Headteacher; operational </w:t>
            </w:r>
            <w:r>
              <w:rPr>
                <w:sz w:val="19"/>
              </w:rPr>
              <w:t>inclusion lead: Eve Reynolds – SENCO</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spacing w:after="0"/>
              <w:rPr>
                <w:rFonts w:hint="eastAsia"/>
              </w:rPr>
            </w:pPr>
            <w:r>
              <w:rPr>
                <w:b/>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spacing w:after="0"/>
              <w:rPr>
                <w:rFonts w:hint="eastAsia"/>
              </w:rPr>
            </w:pPr>
            <w:r>
              <w:rPr>
                <w:sz w:val="19"/>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spacing w:after="0"/>
              <w:rPr>
                <w:rFonts w:hint="eastAsia"/>
              </w:rPr>
            </w:pPr>
            <w:r>
              <w:rPr>
                <w:b/>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spacing w:after="0"/>
              <w:rPr>
                <w:rFonts w:hint="eastAsia"/>
              </w:rPr>
            </w:pPr>
            <w:r>
              <w:rPr>
                <w:sz w:val="19"/>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spacing w:after="0"/>
              <w:rPr>
                <w:rFonts w:hint="eastAsia"/>
              </w:rPr>
            </w:pPr>
            <w:r>
              <w:rPr>
                <w:b/>
                <w:sz w:val="19"/>
              </w:rPr>
              <w:t>Plan period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spacing w:after="0"/>
              <w:rPr>
                <w:rFonts w:hint="eastAsia"/>
              </w:rPr>
            </w:pPr>
            <w:r>
              <w:rPr>
                <w:sz w:val="19"/>
              </w:rPr>
              <w:t>September 2026 to August 2029</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spacing w:after="0"/>
              <w:rPr>
                <w:rFonts w:hint="eastAsia"/>
              </w:rPr>
            </w:pPr>
            <w:r>
              <w:rPr>
                <w:b/>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spacing w:after="0"/>
              <w:rPr>
                <w:rFonts w:hint="eastAsia"/>
              </w:rPr>
            </w:pPr>
            <w:r>
              <w:rPr>
                <w:sz w:val="19"/>
              </w:rPr>
              <w:t xml:space="preserve">Progress reviewed at least annually; full plan </w:t>
            </w:r>
            <w:r>
              <w:rPr>
                <w:sz w:val="19"/>
              </w:rPr>
              <w:t>renewed by September 2029 or earlier if significant needs or premises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spacing w:after="0"/>
              <w:rPr>
                <w:rFonts w:hint="eastAsia"/>
              </w:rPr>
            </w:pPr>
            <w:r>
              <w:rPr>
                <w:b/>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spacing w:after="0"/>
              <w:rPr>
                <w:rFonts w:hint="eastAsia"/>
              </w:rPr>
            </w:pPr>
            <w:r>
              <w:rPr>
                <w:sz w:val="19"/>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spacing w:after="0"/>
              <w:rPr>
                <w:rFonts w:hint="eastAsia"/>
              </w:rPr>
            </w:pPr>
            <w:r>
              <w:rPr>
                <w:b/>
                <w:sz w:val="19"/>
              </w:rPr>
              <w:t>Plan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spacing w:after="0"/>
              <w:rPr>
                <w:rFonts w:hint="eastAsia"/>
              </w:rPr>
            </w:pPr>
            <w:r>
              <w:rPr>
                <w:sz w:val="19"/>
              </w:rPr>
              <w:t>Statutory accessibility plan under Schedule 10 of the Equality Act 2010</w:t>
            </w:r>
          </w:p>
        </w:tc>
      </w:tr>
    </w:tbl>
    <w:p w14:paraId="246C912E" w14:textId="77777777" w:rsidR="008A0BF7" w:rsidRDefault="00D00288">
      <w:pPr>
        <w:spacing w:before="180" w:line="252" w:lineRule="auto"/>
        <w:rPr>
          <w:rFonts w:hint="eastAsia"/>
        </w:rPr>
      </w:pPr>
      <w:r>
        <w:rPr>
          <w:b/>
        </w:rPr>
        <w:t>This plan applies to:</w:t>
      </w:r>
      <w:r>
        <w:t xml:space="preserve"> disabled pupils and prospective pupils, and to the curriculum, physical environment, information and school activities that affect access and participation.</w:t>
      </w:r>
    </w:p>
    <w:p w14:paraId="740A6567" w14:textId="77777777" w:rsidR="008A0BF7" w:rsidRDefault="00D00288">
      <w:pPr>
        <w:spacing w:line="252" w:lineRule="auto"/>
        <w:rPr>
          <w:rFonts w:hint="eastAsia"/>
        </w:rPr>
      </w:pPr>
      <w:r>
        <w:rPr>
          <w:b/>
        </w:rPr>
        <w:t>Related documents:</w:t>
      </w:r>
      <w:r>
        <w:t xml:space="preserve"> SEND Policy; SEN Information Report; Equality Information and Objectives; Health and Safety Policy; Supporting Pupils with Medical Conditions Policy; Behaviour Policy; Educational Visits procedures; Curriculum information; emergency and evacuation arrangements; Complaints Policy.</w:t>
      </w:r>
    </w:p>
    <w:p w14:paraId="4DE11C80" w14:textId="77777777" w:rsidR="008A0BF7" w:rsidRDefault="008A0BF7">
      <w:pPr>
        <w:spacing w:line="252" w:lineRule="auto"/>
        <w:rPr>
          <w:rFonts w:hint="eastAsia"/>
        </w:rPr>
      </w:pPr>
    </w:p>
    <w:p w14:paraId="500F2C8C" w14:textId="77777777" w:rsidR="008A0BF7" w:rsidRDefault="00D00288">
      <w:pPr>
        <w:pStyle w:val="Heading1"/>
      </w:pPr>
      <w:r>
        <w:t>1. Purpose and Statutory Basis</w:t>
      </w:r>
    </w:p>
    <w:p w14:paraId="712CCCB9" w14:textId="77777777" w:rsidR="008A0BF7" w:rsidRDefault="00D00288">
      <w:pPr>
        <w:spacing w:line="252" w:lineRule="auto"/>
        <w:rPr>
          <w:rFonts w:hint="eastAsia"/>
        </w:rPr>
      </w:pPr>
      <w:r>
        <w:t>Manuden Primary School is committed to removing barriers so that disabled pupils can participate in school life as fully, safely and independently as possible. This plan sets out the school’s current accessibility arrangements and the improvements it intends to make over the three-year period September 2026 to August 2029.</w:t>
      </w:r>
    </w:p>
    <w:p w14:paraId="5EB6DB8D" w14:textId="77777777" w:rsidR="008A0BF7" w:rsidRDefault="00D00288">
      <w:pPr>
        <w:spacing w:line="252" w:lineRule="auto"/>
        <w:rPr>
          <w:rFonts w:hint="eastAsia"/>
        </w:rPr>
      </w:pPr>
      <w:r>
        <w:t>Schedule 10 of the Equality Act 2010 requires schools to prepare, implement and keep under review a written accessibility plan. The plan must address three areas:</w:t>
      </w:r>
    </w:p>
    <w:p w14:paraId="2811A44A" w14:textId="77777777" w:rsidR="008A0BF7" w:rsidRDefault="00D00288">
      <w:pPr>
        <w:pStyle w:val="ListBullet"/>
        <w:spacing w:after="40" w:line="240" w:lineRule="auto"/>
        <w:rPr>
          <w:rFonts w:hint="eastAsia"/>
        </w:rPr>
      </w:pPr>
      <w:r>
        <w:lastRenderedPageBreak/>
        <w:t>increasing the extent to which disabled pupils can participate in the curriculum;</w:t>
      </w:r>
    </w:p>
    <w:p w14:paraId="47D86C38" w14:textId="77777777" w:rsidR="008A0BF7" w:rsidRDefault="00D00288">
      <w:pPr>
        <w:pStyle w:val="ListBullet"/>
        <w:spacing w:after="40" w:line="240" w:lineRule="auto"/>
        <w:rPr>
          <w:rFonts w:hint="eastAsia"/>
        </w:rPr>
      </w:pPr>
      <w:r>
        <w:t xml:space="preserve">improving the </w:t>
      </w:r>
      <w:r>
        <w:t>physical environment so disabled pupils can take better advantage of education, benefits, facilities and services;</w:t>
      </w:r>
    </w:p>
    <w:p w14:paraId="54BC892B" w14:textId="77777777" w:rsidR="008A0BF7" w:rsidRDefault="00D00288">
      <w:pPr>
        <w:pStyle w:val="ListBullet"/>
        <w:spacing w:after="40" w:line="240" w:lineRule="auto"/>
        <w:rPr>
          <w:rFonts w:hint="eastAsia"/>
        </w:rPr>
      </w:pPr>
      <w:r>
        <w:t>improving the availability of information to disabled pupils where that information is readily available to pupils who are not disabled.</w:t>
      </w:r>
    </w:p>
    <w:p w14:paraId="5FE714E1" w14:textId="77777777" w:rsidR="008A0BF7" w:rsidRDefault="00D00288">
      <w:pPr>
        <w:spacing w:line="252" w:lineRule="auto"/>
        <w:rPr>
          <w:rFonts w:hint="eastAsia"/>
        </w:rPr>
      </w:pPr>
      <w:r>
        <w:t>The accessibility plan complements, but does not replace, the school’s separate duties to avoid disability discrimination and to make reasonable adjustments. The school will consider individual needs, the views of pupils and parents/carers, professional advice, practical feasibility, health and safety and the resources reasonably available when deciding how barriers will be removed.</w:t>
      </w:r>
    </w:p>
    <w:p w14:paraId="3F18E8E9" w14:textId="77777777" w:rsidR="008A0BF7" w:rsidRDefault="00D00288">
      <w:pPr>
        <w:spacing w:line="252" w:lineRule="auto"/>
        <w:rPr>
          <w:rFonts w:hint="eastAsia"/>
        </w:rPr>
      </w:pPr>
      <w:r>
        <w:t>For the purposes of the Equality Act 2010, a person is disabled where they have a physical or mental impairment that has a substantial and long-term adverse effect on their ability to carry out normal day-to-day activities. Some conditions are treated as disabilities from diagnosis under the Act.</w:t>
      </w:r>
    </w:p>
    <w:p w14:paraId="39ABFF12" w14:textId="77777777" w:rsidR="008A0BF7" w:rsidRDefault="00D00288">
      <w:pPr>
        <w:pStyle w:val="Heading1"/>
      </w:pPr>
      <w:r>
        <w:t>2. Our Inclusive Approach</w:t>
      </w:r>
    </w:p>
    <w:p w14:paraId="166539DF" w14:textId="77777777" w:rsidR="008A0BF7" w:rsidRDefault="00D00288">
      <w:pPr>
        <w:spacing w:line="252" w:lineRule="auto"/>
        <w:rPr>
          <w:rFonts w:hint="eastAsia"/>
        </w:rPr>
      </w:pPr>
      <w:r>
        <w:t>Our vision – Growing Hearts, Growing Minds, Growing Dreams – applies to every pupil. We want children to feel safe, valued and included, while being challenged to achieve their best. Accessibility is therefore part of curriculum design, SEND provision, safeguarding, behaviour, attendance, educational visits, premises management and communication with families.</w:t>
      </w:r>
    </w:p>
    <w:p w14:paraId="4469DBCE" w14:textId="77777777" w:rsidR="008A0BF7" w:rsidRDefault="00D00288">
      <w:pPr>
        <w:spacing w:line="252" w:lineRule="auto"/>
        <w:rPr>
          <w:rFonts w:hint="eastAsia"/>
        </w:rPr>
      </w:pPr>
      <w:r>
        <w:t>The school will take an anticipatory approach wherever reasonably possible. We will not wait for a barrier to prevent participation before considering how it can be reduced. Adjustments will be proportionate to need and will be reviewed when circumstances change.</w:t>
      </w:r>
    </w:p>
    <w:p w14:paraId="2C2245BA" w14:textId="77777777" w:rsidR="008A0BF7" w:rsidRDefault="00D00288">
      <w:pPr>
        <w:pStyle w:val="Heading1"/>
      </w:pPr>
      <w:r>
        <w:t>3. Roles and Responsibilities</w:t>
      </w:r>
    </w:p>
    <w:p w14:paraId="39D9CCE2" w14:textId="77777777" w:rsidR="008A0BF7" w:rsidRDefault="00D00288">
      <w:pPr>
        <w:pStyle w:val="Heading2"/>
      </w:pPr>
      <w:r>
        <w:t>Governing Body</w:t>
      </w:r>
    </w:p>
    <w:p w14:paraId="7395CB8C" w14:textId="77777777" w:rsidR="008A0BF7" w:rsidRDefault="00D00288">
      <w:pPr>
        <w:pStyle w:val="ListBullet"/>
        <w:spacing w:after="40" w:line="240" w:lineRule="auto"/>
        <w:rPr>
          <w:rFonts w:hint="eastAsia"/>
        </w:rPr>
      </w:pPr>
      <w:r>
        <w:t>approves the accessibility plan and keeps implementation under review;</w:t>
      </w:r>
    </w:p>
    <w:p w14:paraId="54AEA4B5" w14:textId="77777777" w:rsidR="008A0BF7" w:rsidRDefault="00D00288">
      <w:pPr>
        <w:pStyle w:val="ListBullet"/>
        <w:spacing w:after="40" w:line="240" w:lineRule="auto"/>
        <w:rPr>
          <w:rFonts w:hint="eastAsia"/>
        </w:rPr>
      </w:pPr>
      <w:r>
        <w:t>has regard to the need to allocate adequate resources to agreed accessibility improvements;</w:t>
      </w:r>
    </w:p>
    <w:p w14:paraId="4AF18E7E" w14:textId="77777777" w:rsidR="008A0BF7" w:rsidRDefault="00D00288">
      <w:pPr>
        <w:pStyle w:val="ListBullet"/>
        <w:spacing w:after="40" w:line="240" w:lineRule="auto"/>
        <w:rPr>
          <w:rFonts w:hint="eastAsia"/>
        </w:rPr>
      </w:pPr>
      <w:r>
        <w:t>receives assurance that statutory accessibility duties and reasonable-adjustment duties are being met;</w:t>
      </w:r>
    </w:p>
    <w:p w14:paraId="2FF45057" w14:textId="77777777" w:rsidR="008A0BF7" w:rsidRDefault="00D00288">
      <w:pPr>
        <w:pStyle w:val="ListBullet"/>
        <w:spacing w:after="40" w:line="240" w:lineRule="auto"/>
        <w:rPr>
          <w:rFonts w:hint="eastAsia"/>
        </w:rPr>
      </w:pPr>
      <w:r>
        <w:t>will designate a governor to monitor SEND/accessibility; the role holder will be recorded in the school’s governance information when confirmed.</w:t>
      </w:r>
    </w:p>
    <w:p w14:paraId="4ABAE7E8" w14:textId="77777777" w:rsidR="008A0BF7" w:rsidRDefault="00D00288">
      <w:pPr>
        <w:pStyle w:val="Heading2"/>
      </w:pPr>
      <w:r>
        <w:t>Headteacher – Phil Molyneux</w:t>
      </w:r>
    </w:p>
    <w:p w14:paraId="7F5F8200" w14:textId="77777777" w:rsidR="008A0BF7" w:rsidRDefault="00D00288">
      <w:pPr>
        <w:pStyle w:val="ListBullet"/>
        <w:spacing w:after="40" w:line="240" w:lineRule="auto"/>
        <w:rPr>
          <w:rFonts w:hint="eastAsia"/>
        </w:rPr>
      </w:pPr>
      <w:r>
        <w:t>has overall responsibility for implementation of this plan;</w:t>
      </w:r>
    </w:p>
    <w:p w14:paraId="0E0B2839" w14:textId="77777777" w:rsidR="008A0BF7" w:rsidRDefault="00D00288">
      <w:pPr>
        <w:pStyle w:val="ListBullet"/>
        <w:spacing w:after="40" w:line="240" w:lineRule="auto"/>
        <w:rPr>
          <w:rFonts w:hint="eastAsia"/>
        </w:rPr>
      </w:pPr>
      <w:r>
        <w:t>ensures accessibility is considered in school improvement, curriculum, staffing, premises and procurement decisions;</w:t>
      </w:r>
    </w:p>
    <w:p w14:paraId="5D12CDAD" w14:textId="77777777" w:rsidR="008A0BF7" w:rsidRDefault="00D00288">
      <w:pPr>
        <w:pStyle w:val="ListBullet"/>
        <w:spacing w:after="40" w:line="240" w:lineRule="auto"/>
        <w:rPr>
          <w:rFonts w:hint="eastAsia"/>
        </w:rPr>
      </w:pPr>
      <w:r>
        <w:t>ensures significant barriers are escalated and prioritised appropriately.</w:t>
      </w:r>
    </w:p>
    <w:p w14:paraId="35693DD0" w14:textId="77777777" w:rsidR="008A0BF7" w:rsidRDefault="00D00288">
      <w:pPr>
        <w:pStyle w:val="Heading2"/>
      </w:pPr>
      <w:r>
        <w:t>SENCO – Eve Reynolds</w:t>
      </w:r>
    </w:p>
    <w:p w14:paraId="217537D8" w14:textId="77777777" w:rsidR="008A0BF7" w:rsidRDefault="00D00288">
      <w:pPr>
        <w:pStyle w:val="ListBullet"/>
        <w:spacing w:after="40" w:line="240" w:lineRule="auto"/>
        <w:rPr>
          <w:rFonts w:hint="eastAsia"/>
        </w:rPr>
      </w:pPr>
      <w:r>
        <w:t>acts as operational inclusion lead for the plan;</w:t>
      </w:r>
    </w:p>
    <w:p w14:paraId="28EC26CC" w14:textId="77777777" w:rsidR="008A0BF7" w:rsidRDefault="00D00288">
      <w:pPr>
        <w:pStyle w:val="ListBullet"/>
        <w:spacing w:after="40" w:line="240" w:lineRule="auto"/>
        <w:rPr>
          <w:rFonts w:hint="eastAsia"/>
        </w:rPr>
      </w:pPr>
      <w:r>
        <w:t>coordinates identification of barriers affecting pupils with SEND and disabilities;</w:t>
      </w:r>
    </w:p>
    <w:p w14:paraId="069924F9" w14:textId="77777777" w:rsidR="008A0BF7" w:rsidRDefault="00D00288">
      <w:pPr>
        <w:pStyle w:val="ListBullet"/>
        <w:spacing w:after="40" w:line="240" w:lineRule="auto"/>
        <w:rPr>
          <w:rFonts w:hint="eastAsia"/>
        </w:rPr>
      </w:pPr>
      <w:r>
        <w:t>works with pupils, families, staff and external professionals to identify and review reasonable adjustments;</w:t>
      </w:r>
    </w:p>
    <w:p w14:paraId="3C2C1529" w14:textId="77777777" w:rsidR="008A0BF7" w:rsidRDefault="00D00288">
      <w:pPr>
        <w:pStyle w:val="ListBullet"/>
        <w:spacing w:after="40" w:line="240" w:lineRule="auto"/>
        <w:rPr>
          <w:rFonts w:hint="eastAsia"/>
        </w:rPr>
      </w:pPr>
      <w:r>
        <w:t>supports staff training, transition planning and evaluation of impact.</w:t>
      </w:r>
    </w:p>
    <w:p w14:paraId="0234A249" w14:textId="77777777" w:rsidR="008A0BF7" w:rsidRDefault="00D00288">
      <w:pPr>
        <w:pStyle w:val="Heading2"/>
      </w:pPr>
      <w:r>
        <w:t>All staff</w:t>
      </w:r>
    </w:p>
    <w:p w14:paraId="38427C93" w14:textId="77777777" w:rsidR="008A0BF7" w:rsidRDefault="00D00288">
      <w:pPr>
        <w:spacing w:line="252" w:lineRule="auto"/>
        <w:rPr>
          <w:rFonts w:hint="eastAsia"/>
        </w:rPr>
      </w:pPr>
      <w:r>
        <w:t>All staff are responsible for implementing reasonable adjustments relevant to their role, reporting accessibility barriers, following agreed plans and ensuring that disability does not unnecessarily prevent a pupil from participating in learning, visits, clubs, events or wider school life.</w:t>
      </w:r>
    </w:p>
    <w:p w14:paraId="69B1D3C4" w14:textId="77777777" w:rsidR="008A0BF7" w:rsidRDefault="00D00288">
      <w:pPr>
        <w:pStyle w:val="Heading1"/>
      </w:pPr>
      <w:r>
        <w:lastRenderedPageBreak/>
        <w:t>4. Current Accessibility Profile – September 2026</w:t>
      </w:r>
    </w:p>
    <w:p w14:paraId="6615F82B" w14:textId="77777777" w:rsidR="008A0BF7" w:rsidRDefault="00D00288">
      <w:pPr>
        <w:spacing w:line="252" w:lineRule="auto"/>
        <w:rPr>
          <w:rFonts w:hint="eastAsia"/>
        </w:rPr>
      </w:pPr>
      <w:r>
        <w:t>The following profile records the school’s current position at the start of this plan. It is not a substitute for the fuller premises accessibility audit included as a 2026–27 action.</w:t>
      </w:r>
    </w:p>
    <w:tbl>
      <w:tblPr>
        <w:tblStyle w:val="TableGrid"/>
        <w:tblW w:w="0" w:type="auto"/>
        <w:jc w:val="center"/>
        <w:tblLook w:val="04A0" w:firstRow="1" w:lastRow="0" w:firstColumn="1" w:lastColumn="0" w:noHBand="0" w:noVBand="1"/>
      </w:tblPr>
      <w:tblGrid>
        <w:gridCol w:w="2520"/>
        <w:gridCol w:w="7488"/>
      </w:tblGrid>
      <w:tr w:rsidR="008A0BF7" w14:paraId="3EB1152E" w14:textId="77777777">
        <w:trPr>
          <w:cantSplit/>
          <w:tblHeader/>
          <w:jc w:val="center"/>
        </w:trPr>
        <w:tc>
          <w:tcPr>
            <w:tcW w:w="2520" w:type="dxa"/>
            <w:shd w:val="clear" w:color="auto" w:fill="EDE9F8"/>
          </w:tcPr>
          <w:p w14:paraId="73DE6E06" w14:textId="77777777" w:rsidR="008A0BF7" w:rsidRDefault="00D00288">
            <w:pPr>
              <w:spacing w:after="0" w:line="240" w:lineRule="auto"/>
              <w:rPr>
                <w:rFonts w:hint="eastAsia"/>
              </w:rPr>
            </w:pPr>
            <w:r>
              <w:rPr>
                <w:b/>
                <w:sz w:val="18"/>
              </w:rPr>
              <w:t>Area</w:t>
            </w:r>
          </w:p>
        </w:tc>
        <w:tc>
          <w:tcPr>
            <w:tcW w:w="7488" w:type="dxa"/>
            <w:shd w:val="clear" w:color="auto" w:fill="EDE9F8"/>
          </w:tcPr>
          <w:p w14:paraId="372FC54E" w14:textId="77777777" w:rsidR="008A0BF7" w:rsidRDefault="00D00288">
            <w:pPr>
              <w:spacing w:after="0" w:line="240" w:lineRule="auto"/>
              <w:rPr>
                <w:rFonts w:hint="eastAsia"/>
              </w:rPr>
            </w:pPr>
            <w:r>
              <w:rPr>
                <w:b/>
                <w:sz w:val="18"/>
              </w:rPr>
              <w:t>Current Manuden position</w:t>
            </w:r>
          </w:p>
        </w:tc>
      </w:tr>
      <w:tr w:rsidR="008A0BF7" w14:paraId="671BDB41" w14:textId="77777777">
        <w:trPr>
          <w:cantSplit/>
          <w:jc w:val="center"/>
        </w:trPr>
        <w:tc>
          <w:tcPr>
            <w:tcW w:w="2520" w:type="dxa"/>
          </w:tcPr>
          <w:p w14:paraId="2A86695E" w14:textId="77777777" w:rsidR="008A0BF7" w:rsidRDefault="00D00288">
            <w:pPr>
              <w:spacing w:after="0" w:line="240" w:lineRule="auto"/>
              <w:rPr>
                <w:rFonts w:hint="eastAsia"/>
              </w:rPr>
            </w:pPr>
            <w:r>
              <w:rPr>
                <w:b/>
                <w:sz w:val="18"/>
              </w:rPr>
              <w:t>Main entrance and reception</w:t>
            </w:r>
          </w:p>
        </w:tc>
        <w:tc>
          <w:tcPr>
            <w:tcW w:w="7488" w:type="dxa"/>
          </w:tcPr>
          <w:p w14:paraId="018504F5" w14:textId="77777777" w:rsidR="008A0BF7" w:rsidRDefault="00D00288">
            <w:pPr>
              <w:spacing w:after="0" w:line="240" w:lineRule="auto"/>
              <w:rPr>
                <w:rFonts w:hint="eastAsia"/>
              </w:rPr>
            </w:pPr>
            <w:r>
              <w:rPr>
                <w:sz w:val="18"/>
              </w:rPr>
              <w:t xml:space="preserve">Step-free access is available from the approach to the main </w:t>
            </w:r>
            <w:r>
              <w:rPr>
                <w:sz w:val="18"/>
              </w:rPr>
              <w:t>entrance. The School Office / main reception area is accessible.</w:t>
            </w:r>
          </w:p>
        </w:tc>
      </w:tr>
      <w:tr w:rsidR="008A0BF7" w14:paraId="36CFFF7F" w14:textId="77777777">
        <w:trPr>
          <w:cantSplit/>
          <w:jc w:val="center"/>
        </w:trPr>
        <w:tc>
          <w:tcPr>
            <w:tcW w:w="2520" w:type="dxa"/>
          </w:tcPr>
          <w:p w14:paraId="32B74BEB" w14:textId="77777777" w:rsidR="008A0BF7" w:rsidRDefault="00D00288">
            <w:pPr>
              <w:spacing w:after="0" w:line="240" w:lineRule="auto"/>
              <w:rPr>
                <w:rFonts w:hint="eastAsia"/>
              </w:rPr>
            </w:pPr>
            <w:r>
              <w:rPr>
                <w:b/>
                <w:sz w:val="18"/>
              </w:rPr>
              <w:t>Teaching classrooms</w:t>
            </w:r>
          </w:p>
        </w:tc>
        <w:tc>
          <w:tcPr>
            <w:tcW w:w="7488" w:type="dxa"/>
          </w:tcPr>
          <w:p w14:paraId="3CE84C9D" w14:textId="77777777" w:rsidR="008A0BF7" w:rsidRDefault="00D00288">
            <w:pPr>
              <w:spacing w:after="0" w:line="240" w:lineRule="auto"/>
              <w:rPr>
                <w:rFonts w:hint="eastAsia"/>
              </w:rPr>
            </w:pPr>
            <w:r>
              <w:rPr>
                <w:sz w:val="18"/>
              </w:rPr>
              <w:t>Pygmy Owl, Tawny Owl, Hawk Owl and Eagle Owl classrooms are accessible to a wheelchair user.</w:t>
            </w:r>
          </w:p>
        </w:tc>
      </w:tr>
      <w:tr w:rsidR="008A0BF7" w14:paraId="45DB2312" w14:textId="77777777">
        <w:trPr>
          <w:cantSplit/>
          <w:jc w:val="center"/>
        </w:trPr>
        <w:tc>
          <w:tcPr>
            <w:tcW w:w="2520" w:type="dxa"/>
          </w:tcPr>
          <w:p w14:paraId="64898A85" w14:textId="77777777" w:rsidR="008A0BF7" w:rsidRDefault="00D00288">
            <w:pPr>
              <w:spacing w:after="0" w:line="240" w:lineRule="auto"/>
              <w:rPr>
                <w:rFonts w:hint="eastAsia"/>
              </w:rPr>
            </w:pPr>
            <w:r>
              <w:rPr>
                <w:b/>
                <w:sz w:val="18"/>
              </w:rPr>
              <w:t>IT suite</w:t>
            </w:r>
          </w:p>
        </w:tc>
        <w:tc>
          <w:tcPr>
            <w:tcW w:w="7488" w:type="dxa"/>
          </w:tcPr>
          <w:p w14:paraId="0B93F2ED" w14:textId="77777777" w:rsidR="008A0BF7" w:rsidRDefault="00D00288">
            <w:pPr>
              <w:spacing w:after="0" w:line="240" w:lineRule="auto"/>
              <w:rPr>
                <w:rFonts w:hint="eastAsia"/>
              </w:rPr>
            </w:pPr>
            <w:r>
              <w:rPr>
                <w:sz w:val="18"/>
              </w:rPr>
              <w:t>The IT suite is accessible, although there is a small raised threshold / bump at the doorway which will be assessed as part of the premises audit.</w:t>
            </w:r>
          </w:p>
        </w:tc>
      </w:tr>
      <w:tr w:rsidR="008A0BF7" w14:paraId="37CEFF88" w14:textId="77777777">
        <w:trPr>
          <w:cantSplit/>
          <w:jc w:val="center"/>
        </w:trPr>
        <w:tc>
          <w:tcPr>
            <w:tcW w:w="2520" w:type="dxa"/>
          </w:tcPr>
          <w:p w14:paraId="02DD537E" w14:textId="77777777" w:rsidR="008A0BF7" w:rsidRDefault="00D00288">
            <w:pPr>
              <w:spacing w:after="0" w:line="240" w:lineRule="auto"/>
              <w:rPr>
                <w:rFonts w:hint="eastAsia"/>
              </w:rPr>
            </w:pPr>
            <w:r>
              <w:rPr>
                <w:b/>
                <w:sz w:val="18"/>
              </w:rPr>
              <w:t>Hall</w:t>
            </w:r>
          </w:p>
        </w:tc>
        <w:tc>
          <w:tcPr>
            <w:tcW w:w="7488" w:type="dxa"/>
          </w:tcPr>
          <w:p w14:paraId="7FD8B61A" w14:textId="77777777" w:rsidR="008A0BF7" w:rsidRDefault="00D00288">
            <w:pPr>
              <w:spacing w:after="0" w:line="240" w:lineRule="auto"/>
              <w:rPr>
                <w:rFonts w:hint="eastAsia"/>
              </w:rPr>
            </w:pPr>
            <w:r>
              <w:rPr>
                <w:sz w:val="18"/>
              </w:rPr>
              <w:t>The hall is accessible.</w:t>
            </w:r>
          </w:p>
        </w:tc>
      </w:tr>
      <w:tr w:rsidR="008A0BF7" w14:paraId="69362903" w14:textId="77777777">
        <w:trPr>
          <w:cantSplit/>
          <w:jc w:val="center"/>
        </w:trPr>
        <w:tc>
          <w:tcPr>
            <w:tcW w:w="2520" w:type="dxa"/>
          </w:tcPr>
          <w:p w14:paraId="1B2DC72C" w14:textId="77777777" w:rsidR="008A0BF7" w:rsidRDefault="00D00288">
            <w:pPr>
              <w:spacing w:after="0" w:line="240" w:lineRule="auto"/>
              <w:rPr>
                <w:rFonts w:hint="eastAsia"/>
              </w:rPr>
            </w:pPr>
            <w:r>
              <w:rPr>
                <w:b/>
                <w:sz w:val="18"/>
              </w:rPr>
              <w:t>Hall to playground</w:t>
            </w:r>
          </w:p>
        </w:tc>
        <w:tc>
          <w:tcPr>
            <w:tcW w:w="7488" w:type="dxa"/>
          </w:tcPr>
          <w:p w14:paraId="463E9064" w14:textId="77777777" w:rsidR="008A0BF7" w:rsidRDefault="00D00288">
            <w:pPr>
              <w:spacing w:after="0" w:line="240" w:lineRule="auto"/>
              <w:rPr>
                <w:rFonts w:hint="eastAsia"/>
              </w:rPr>
            </w:pPr>
            <w:r>
              <w:rPr>
                <w:sz w:val="18"/>
              </w:rPr>
              <w:t xml:space="preserve">There is a short drop / step from the hall to the playground. A portable accessibility ramp is available and can be moved </w:t>
            </w:r>
            <w:r>
              <w:rPr>
                <w:sz w:val="18"/>
              </w:rPr>
              <w:t>into position when required.</w:t>
            </w:r>
          </w:p>
        </w:tc>
      </w:tr>
      <w:tr w:rsidR="008A0BF7" w14:paraId="28D27A26" w14:textId="77777777">
        <w:trPr>
          <w:cantSplit/>
          <w:jc w:val="center"/>
        </w:trPr>
        <w:tc>
          <w:tcPr>
            <w:tcW w:w="2520" w:type="dxa"/>
          </w:tcPr>
          <w:p w14:paraId="5DD04C61" w14:textId="77777777" w:rsidR="008A0BF7" w:rsidRDefault="00D00288">
            <w:pPr>
              <w:spacing w:after="0" w:line="240" w:lineRule="auto"/>
              <w:rPr>
                <w:rFonts w:hint="eastAsia"/>
              </w:rPr>
            </w:pPr>
            <w:r>
              <w:rPr>
                <w:b/>
                <w:sz w:val="18"/>
              </w:rPr>
              <w:t>Toilets</w:t>
            </w:r>
          </w:p>
        </w:tc>
        <w:tc>
          <w:tcPr>
            <w:tcW w:w="7488" w:type="dxa"/>
          </w:tcPr>
          <w:p w14:paraId="1B0EFB7C" w14:textId="77777777" w:rsidR="008A0BF7" w:rsidRDefault="00D00288">
            <w:pPr>
              <w:spacing w:after="0" w:line="240" w:lineRule="auto"/>
              <w:rPr>
                <w:rFonts w:hint="eastAsia"/>
              </w:rPr>
            </w:pPr>
            <w:r>
              <w:rPr>
                <w:sz w:val="18"/>
              </w:rPr>
              <w:t>School toilet provision is accessible. A designated accessible toilet is located in the Reception building.</w:t>
            </w:r>
          </w:p>
        </w:tc>
      </w:tr>
      <w:tr w:rsidR="008A0BF7" w14:paraId="4E8B3850" w14:textId="77777777">
        <w:trPr>
          <w:cantSplit/>
          <w:jc w:val="center"/>
        </w:trPr>
        <w:tc>
          <w:tcPr>
            <w:tcW w:w="2520" w:type="dxa"/>
          </w:tcPr>
          <w:p w14:paraId="2DA4BCD4" w14:textId="77777777" w:rsidR="008A0BF7" w:rsidRDefault="00D00288">
            <w:pPr>
              <w:spacing w:after="0" w:line="240" w:lineRule="auto"/>
              <w:rPr>
                <w:rFonts w:hint="eastAsia"/>
              </w:rPr>
            </w:pPr>
            <w:r>
              <w:rPr>
                <w:b/>
                <w:sz w:val="18"/>
              </w:rPr>
              <w:t>Playground</w:t>
            </w:r>
          </w:p>
        </w:tc>
        <w:tc>
          <w:tcPr>
            <w:tcW w:w="7488" w:type="dxa"/>
          </w:tcPr>
          <w:p w14:paraId="23ECCD43" w14:textId="77777777" w:rsidR="008A0BF7" w:rsidRDefault="00D00288">
            <w:pPr>
              <w:spacing w:after="0" w:line="240" w:lineRule="auto"/>
              <w:rPr>
                <w:rFonts w:hint="eastAsia"/>
              </w:rPr>
            </w:pPr>
            <w:r>
              <w:rPr>
                <w:sz w:val="18"/>
              </w:rPr>
              <w:t>The playground is accessible, including by use of the portable ramp where the hall-to-playground route is used.</w:t>
            </w:r>
          </w:p>
        </w:tc>
      </w:tr>
      <w:tr w:rsidR="008A0BF7" w14:paraId="5DF1D9BC" w14:textId="77777777">
        <w:trPr>
          <w:cantSplit/>
          <w:jc w:val="center"/>
        </w:trPr>
        <w:tc>
          <w:tcPr>
            <w:tcW w:w="2520" w:type="dxa"/>
          </w:tcPr>
          <w:p w14:paraId="4DFC3F03" w14:textId="77777777" w:rsidR="008A0BF7" w:rsidRDefault="00D00288">
            <w:pPr>
              <w:spacing w:after="0" w:line="240" w:lineRule="auto"/>
              <w:rPr>
                <w:rFonts w:hint="eastAsia"/>
              </w:rPr>
            </w:pPr>
            <w:r>
              <w:rPr>
                <w:b/>
                <w:sz w:val="18"/>
              </w:rPr>
              <w:t>Field and outdoor areas</w:t>
            </w:r>
          </w:p>
        </w:tc>
        <w:tc>
          <w:tcPr>
            <w:tcW w:w="7488" w:type="dxa"/>
          </w:tcPr>
          <w:p w14:paraId="610A29C8" w14:textId="77777777" w:rsidR="008A0BF7" w:rsidRDefault="00D00288">
            <w:pPr>
              <w:spacing w:after="0" w:line="240" w:lineRule="auto"/>
              <w:rPr>
                <w:rFonts w:hint="eastAsia"/>
              </w:rPr>
            </w:pPr>
            <w:r>
              <w:rPr>
                <w:sz w:val="18"/>
              </w:rPr>
              <w:t>The direct route includes stairs. An alternative accessible route is available through the Reception area using a sloped route to the field / outdoor space.</w:t>
            </w:r>
          </w:p>
        </w:tc>
      </w:tr>
      <w:tr w:rsidR="008A0BF7" w14:paraId="182935BF" w14:textId="77777777">
        <w:trPr>
          <w:cantSplit/>
          <w:jc w:val="center"/>
        </w:trPr>
        <w:tc>
          <w:tcPr>
            <w:tcW w:w="2520" w:type="dxa"/>
          </w:tcPr>
          <w:p w14:paraId="223AF9B5" w14:textId="77777777" w:rsidR="008A0BF7" w:rsidRDefault="00D00288">
            <w:pPr>
              <w:spacing w:after="0" w:line="240" w:lineRule="auto"/>
              <w:rPr>
                <w:rFonts w:hint="eastAsia"/>
              </w:rPr>
            </w:pPr>
            <w:r>
              <w:rPr>
                <w:b/>
                <w:sz w:val="18"/>
              </w:rPr>
              <w:t>Parking</w:t>
            </w:r>
          </w:p>
        </w:tc>
        <w:tc>
          <w:tcPr>
            <w:tcW w:w="7488" w:type="dxa"/>
          </w:tcPr>
          <w:p w14:paraId="4B8A6A9F" w14:textId="77777777" w:rsidR="008A0BF7" w:rsidRDefault="00D00288">
            <w:pPr>
              <w:spacing w:after="0" w:line="240" w:lineRule="auto"/>
              <w:rPr>
                <w:rFonts w:hint="eastAsia"/>
              </w:rPr>
            </w:pPr>
            <w:r>
              <w:rPr>
                <w:sz w:val="18"/>
              </w:rPr>
              <w:t>A designated disabled parking bay is available on the school drive.</w:t>
            </w:r>
          </w:p>
        </w:tc>
      </w:tr>
      <w:tr w:rsidR="008A0BF7" w14:paraId="7E8B2A4E" w14:textId="77777777">
        <w:trPr>
          <w:cantSplit/>
          <w:jc w:val="center"/>
        </w:trPr>
        <w:tc>
          <w:tcPr>
            <w:tcW w:w="2520" w:type="dxa"/>
          </w:tcPr>
          <w:p w14:paraId="7FFFAE02" w14:textId="77777777" w:rsidR="008A0BF7" w:rsidRDefault="00D00288">
            <w:pPr>
              <w:spacing w:after="0" w:line="240" w:lineRule="auto"/>
              <w:rPr>
                <w:rFonts w:hint="eastAsia"/>
              </w:rPr>
            </w:pPr>
            <w:r>
              <w:rPr>
                <w:b/>
                <w:sz w:val="18"/>
              </w:rPr>
              <w:t>Curriculum resources</w:t>
            </w:r>
          </w:p>
        </w:tc>
        <w:tc>
          <w:tcPr>
            <w:tcW w:w="7488" w:type="dxa"/>
          </w:tcPr>
          <w:p w14:paraId="0EC389D3" w14:textId="77777777" w:rsidR="008A0BF7" w:rsidRDefault="00D00288">
            <w:pPr>
              <w:spacing w:after="0" w:line="240" w:lineRule="auto"/>
              <w:rPr>
                <w:rFonts w:hint="eastAsia"/>
              </w:rPr>
            </w:pPr>
            <w:r>
              <w:rPr>
                <w:sz w:val="18"/>
              </w:rPr>
              <w:t>The school uses adaptations as required, including visual timetables, coloured overlays / paper, enlarged print, reading guides, sensory resources, adapted PE equipment, ICT, writing aids and specialist / supportive seating.</w:t>
            </w:r>
          </w:p>
        </w:tc>
      </w:tr>
      <w:tr w:rsidR="008A0BF7" w14:paraId="617F6AE4" w14:textId="77777777">
        <w:trPr>
          <w:cantSplit/>
          <w:jc w:val="center"/>
        </w:trPr>
        <w:tc>
          <w:tcPr>
            <w:tcW w:w="2520" w:type="dxa"/>
          </w:tcPr>
          <w:p w14:paraId="3BE2FD8E" w14:textId="77777777" w:rsidR="008A0BF7" w:rsidRDefault="00D00288">
            <w:pPr>
              <w:spacing w:after="0" w:line="240" w:lineRule="auto"/>
              <w:rPr>
                <w:rFonts w:hint="eastAsia"/>
              </w:rPr>
            </w:pPr>
            <w:r>
              <w:rPr>
                <w:b/>
                <w:sz w:val="18"/>
              </w:rPr>
              <w:t>Accessible information</w:t>
            </w:r>
          </w:p>
        </w:tc>
        <w:tc>
          <w:tcPr>
            <w:tcW w:w="7488" w:type="dxa"/>
          </w:tcPr>
          <w:p w14:paraId="0E25F6F2" w14:textId="77777777" w:rsidR="008A0BF7" w:rsidRDefault="00D00288">
            <w:pPr>
              <w:spacing w:after="0" w:line="240" w:lineRule="auto"/>
              <w:rPr>
                <w:rFonts w:hint="eastAsia"/>
              </w:rPr>
            </w:pPr>
            <w:r>
              <w:rPr>
                <w:sz w:val="18"/>
              </w:rPr>
              <w:t>Families can request information in alternative or adapted formats. The School Office and SENCO will coordinate this as needed.</w:t>
            </w:r>
          </w:p>
        </w:tc>
      </w:tr>
      <w:tr w:rsidR="008A0BF7" w14:paraId="7C59F0BE" w14:textId="77777777">
        <w:trPr>
          <w:cantSplit/>
          <w:jc w:val="center"/>
        </w:trPr>
        <w:tc>
          <w:tcPr>
            <w:tcW w:w="2520" w:type="dxa"/>
          </w:tcPr>
          <w:p w14:paraId="7034A9E1" w14:textId="77777777" w:rsidR="008A0BF7" w:rsidRDefault="00D00288">
            <w:pPr>
              <w:spacing w:after="0" w:line="240" w:lineRule="auto"/>
              <w:rPr>
                <w:rFonts w:hint="eastAsia"/>
              </w:rPr>
            </w:pPr>
            <w:r>
              <w:rPr>
                <w:b/>
                <w:sz w:val="18"/>
              </w:rPr>
              <w:t>Educational visits</w:t>
            </w:r>
          </w:p>
        </w:tc>
        <w:tc>
          <w:tcPr>
            <w:tcW w:w="7488" w:type="dxa"/>
          </w:tcPr>
          <w:p w14:paraId="2F662303" w14:textId="77777777" w:rsidR="008A0BF7" w:rsidRDefault="00D00288">
            <w:pPr>
              <w:spacing w:after="0" w:line="240" w:lineRule="auto"/>
              <w:rPr>
                <w:rFonts w:hint="eastAsia"/>
              </w:rPr>
            </w:pPr>
            <w:r>
              <w:rPr>
                <w:sz w:val="18"/>
              </w:rPr>
              <w:t>Accessibility and individual needs are considered through visit planning, risk assessment and Evolve procedures so pupils can participate as fully as possible.</w:t>
            </w:r>
          </w:p>
        </w:tc>
      </w:tr>
    </w:tbl>
    <w:p w14:paraId="2175B43E" w14:textId="77777777" w:rsidR="008A0BF7" w:rsidRDefault="00D00288">
      <w:pPr>
        <w:pStyle w:val="Heading1"/>
      </w:pPr>
      <w:r>
        <w:t>5. How Accessibility Needs Are Identified and Reviewed</w:t>
      </w:r>
    </w:p>
    <w:p w14:paraId="3B9074E2" w14:textId="77777777" w:rsidR="008A0BF7" w:rsidRDefault="00D00288">
      <w:pPr>
        <w:spacing w:line="252" w:lineRule="auto"/>
        <w:rPr>
          <w:rFonts w:hint="eastAsia"/>
        </w:rPr>
      </w:pPr>
      <w:r>
        <w:t xml:space="preserve">Accessibility needs may be identified through admission and transition information, SEND assessment and </w:t>
      </w:r>
      <w:r>
        <w:t>review, Individual Healthcare Plans, EHCP processes where applicable, pupil and parent/carer voice, staff observation, professional advice, risk assessment, premises checks and feedback following school activities.</w:t>
      </w:r>
    </w:p>
    <w:p w14:paraId="2FE0CB15" w14:textId="77777777" w:rsidR="008A0BF7" w:rsidRDefault="00D00288">
      <w:pPr>
        <w:spacing w:line="252" w:lineRule="auto"/>
        <w:rPr>
          <w:rFonts w:hint="eastAsia"/>
        </w:rPr>
      </w:pPr>
      <w:r>
        <w:t>Where a pupil requires individual adjustments, the school will record and communicate the agreed arrangements in the most appropriate plan or school record. Adjustments will be reviewed at suitable intervals and whenever the pupil’s needs, environment or activities change.</w:t>
      </w:r>
    </w:p>
    <w:p w14:paraId="5DDBBB52" w14:textId="77777777" w:rsidR="008A0BF7" w:rsidRDefault="00D00288">
      <w:pPr>
        <w:spacing w:line="252" w:lineRule="auto"/>
        <w:rPr>
          <w:rFonts w:hint="eastAsia"/>
        </w:rPr>
      </w:pPr>
      <w:r>
        <w:t>Where a pupil, staff member or visitor would need additional assistance to evacuate safely in an emergency, the school will prepare and review an appropriate Personal Emergency Evacuation Plan (PEEP) or equivalent individual emergency arrangement.</w:t>
      </w:r>
    </w:p>
    <w:p w14:paraId="51AE18B2" w14:textId="77777777" w:rsidR="008A0BF7" w:rsidRDefault="00D00288">
      <w:pPr>
        <w:pStyle w:val="Heading1"/>
      </w:pPr>
      <w:r>
        <w:t>6. Priority 1 – Increasing Access to the Curriculum</w:t>
      </w:r>
    </w:p>
    <w:p w14:paraId="1EF651B0" w14:textId="77777777" w:rsidR="008A0BF7" w:rsidRDefault="00D00288">
      <w:pPr>
        <w:spacing w:line="252" w:lineRule="auto"/>
        <w:rPr>
          <w:rFonts w:hint="eastAsia"/>
        </w:rPr>
      </w:pPr>
      <w:r>
        <w:t>Current strengths include adaptive teaching, access to visual and sensory supports, use of ICT and adapted resources, individual planning, external professional advice, and consideration of accessibility in educational visits. The school will continue to strengthen consistency and evidence of impact.</w:t>
      </w:r>
    </w:p>
    <w:tbl>
      <w:tblPr>
        <w:tblStyle w:val="TableGrid"/>
        <w:tblW w:w="0" w:type="auto"/>
        <w:jc w:val="center"/>
        <w:tblLook w:val="04A0" w:firstRow="1" w:lastRow="0" w:firstColumn="1" w:lastColumn="0" w:noHBand="0" w:noVBand="1"/>
      </w:tblPr>
      <w:tblGrid>
        <w:gridCol w:w="1944"/>
        <w:gridCol w:w="4248"/>
        <w:gridCol w:w="1800"/>
        <w:gridCol w:w="2088"/>
      </w:tblGrid>
      <w:tr w:rsidR="008A0BF7" w14:paraId="002B767C" w14:textId="77777777">
        <w:trPr>
          <w:cantSplit/>
          <w:tblHeader/>
          <w:jc w:val="center"/>
        </w:trPr>
        <w:tc>
          <w:tcPr>
            <w:tcW w:w="1944" w:type="dxa"/>
            <w:shd w:val="clear" w:color="auto" w:fill="EDE9F8"/>
          </w:tcPr>
          <w:p w14:paraId="6AA88B6D" w14:textId="77777777" w:rsidR="008A0BF7" w:rsidRDefault="00D00288">
            <w:pPr>
              <w:spacing w:after="0" w:line="240" w:lineRule="auto"/>
              <w:rPr>
                <w:rFonts w:hint="eastAsia"/>
              </w:rPr>
            </w:pPr>
            <w:r>
              <w:rPr>
                <w:b/>
                <w:sz w:val="17"/>
              </w:rPr>
              <w:t>Priority</w:t>
            </w:r>
          </w:p>
        </w:tc>
        <w:tc>
          <w:tcPr>
            <w:tcW w:w="4248" w:type="dxa"/>
            <w:shd w:val="clear" w:color="auto" w:fill="EDE9F8"/>
          </w:tcPr>
          <w:p w14:paraId="5EF9C12B" w14:textId="77777777" w:rsidR="008A0BF7" w:rsidRDefault="00D00288">
            <w:pPr>
              <w:spacing w:after="0" w:line="240" w:lineRule="auto"/>
              <w:rPr>
                <w:rFonts w:hint="eastAsia"/>
              </w:rPr>
            </w:pPr>
            <w:r>
              <w:rPr>
                <w:b/>
                <w:sz w:val="17"/>
              </w:rPr>
              <w:t>Actions / measures</w:t>
            </w:r>
          </w:p>
        </w:tc>
        <w:tc>
          <w:tcPr>
            <w:tcW w:w="1800" w:type="dxa"/>
            <w:shd w:val="clear" w:color="auto" w:fill="EDE9F8"/>
          </w:tcPr>
          <w:p w14:paraId="2E747007" w14:textId="77777777" w:rsidR="008A0BF7" w:rsidRDefault="00D00288">
            <w:pPr>
              <w:spacing w:after="0" w:line="240" w:lineRule="auto"/>
              <w:rPr>
                <w:rFonts w:hint="eastAsia"/>
              </w:rPr>
            </w:pPr>
            <w:r>
              <w:rPr>
                <w:b/>
                <w:sz w:val="17"/>
              </w:rPr>
              <w:t>Lead &amp; timescale</w:t>
            </w:r>
          </w:p>
        </w:tc>
        <w:tc>
          <w:tcPr>
            <w:tcW w:w="2088" w:type="dxa"/>
            <w:shd w:val="clear" w:color="auto" w:fill="EDE9F8"/>
          </w:tcPr>
          <w:p w14:paraId="43FA9B7A" w14:textId="77777777" w:rsidR="008A0BF7" w:rsidRDefault="00D00288">
            <w:pPr>
              <w:spacing w:after="0" w:line="240" w:lineRule="auto"/>
              <w:rPr>
                <w:rFonts w:hint="eastAsia"/>
              </w:rPr>
            </w:pPr>
            <w:r>
              <w:rPr>
                <w:b/>
                <w:sz w:val="17"/>
              </w:rPr>
              <w:t>Success criteria</w:t>
            </w:r>
          </w:p>
        </w:tc>
      </w:tr>
      <w:tr w:rsidR="008A0BF7" w14:paraId="08B7CD54" w14:textId="77777777">
        <w:trPr>
          <w:cantSplit/>
          <w:jc w:val="center"/>
        </w:trPr>
        <w:tc>
          <w:tcPr>
            <w:tcW w:w="1944" w:type="dxa"/>
          </w:tcPr>
          <w:p w14:paraId="1E6D1A63" w14:textId="77777777" w:rsidR="008A0BF7" w:rsidRDefault="00D00288">
            <w:pPr>
              <w:spacing w:after="0" w:line="240" w:lineRule="auto"/>
              <w:rPr>
                <w:rFonts w:hint="eastAsia"/>
              </w:rPr>
            </w:pPr>
            <w:r>
              <w:rPr>
                <w:b/>
                <w:sz w:val="17"/>
              </w:rPr>
              <w:t>Audit curriculum access</w:t>
            </w:r>
          </w:p>
        </w:tc>
        <w:tc>
          <w:tcPr>
            <w:tcW w:w="4248" w:type="dxa"/>
          </w:tcPr>
          <w:p w14:paraId="5A9A094D" w14:textId="77777777" w:rsidR="008A0BF7" w:rsidRDefault="00D00288">
            <w:pPr>
              <w:spacing w:after="0" w:line="240" w:lineRule="auto"/>
              <w:rPr>
                <w:rFonts w:hint="eastAsia"/>
              </w:rPr>
            </w:pPr>
            <w:r>
              <w:rPr>
                <w:sz w:val="17"/>
              </w:rPr>
              <w:t>Complete an annual review of barriers across subjects, PE, clubs, assemblies, trips and residentials. Check that reasonable adjustments are planned in advance and reflected in relevant pupil plans and visit risk assessments.</w:t>
            </w:r>
          </w:p>
        </w:tc>
        <w:tc>
          <w:tcPr>
            <w:tcW w:w="1800" w:type="dxa"/>
          </w:tcPr>
          <w:p w14:paraId="6263C62F" w14:textId="77777777" w:rsidR="008A0BF7" w:rsidRDefault="00D00288">
            <w:pPr>
              <w:spacing w:after="0" w:line="240" w:lineRule="auto"/>
              <w:rPr>
                <w:rFonts w:hint="eastAsia"/>
              </w:rPr>
            </w:pPr>
            <w:r>
              <w:rPr>
                <w:sz w:val="17"/>
              </w:rPr>
              <w:t>SENCO / SLT</w:t>
            </w:r>
            <w:r>
              <w:rPr>
                <w:sz w:val="17"/>
              </w:rPr>
              <w:br/>
              <w:t>Autumn 2026, then annually</w:t>
            </w:r>
          </w:p>
        </w:tc>
        <w:tc>
          <w:tcPr>
            <w:tcW w:w="2088" w:type="dxa"/>
          </w:tcPr>
          <w:p w14:paraId="28B6D28A" w14:textId="77777777" w:rsidR="008A0BF7" w:rsidRDefault="00D00288">
            <w:pPr>
              <w:spacing w:after="0" w:line="240" w:lineRule="auto"/>
              <w:rPr>
                <w:rFonts w:hint="eastAsia"/>
              </w:rPr>
            </w:pPr>
            <w:r>
              <w:rPr>
                <w:sz w:val="17"/>
              </w:rPr>
              <w:t>Barriers are identified early; agreed adjustments are visible in planning and pupils participate as fully as possible.</w:t>
            </w:r>
          </w:p>
        </w:tc>
      </w:tr>
      <w:tr w:rsidR="008A0BF7" w14:paraId="55360053" w14:textId="77777777">
        <w:trPr>
          <w:cantSplit/>
          <w:jc w:val="center"/>
        </w:trPr>
        <w:tc>
          <w:tcPr>
            <w:tcW w:w="1944" w:type="dxa"/>
          </w:tcPr>
          <w:p w14:paraId="0E4CD727" w14:textId="77777777" w:rsidR="008A0BF7" w:rsidRDefault="00D00288">
            <w:pPr>
              <w:spacing w:after="0" w:line="240" w:lineRule="auto"/>
              <w:rPr>
                <w:rFonts w:hint="eastAsia"/>
              </w:rPr>
            </w:pPr>
            <w:r>
              <w:rPr>
                <w:b/>
                <w:sz w:val="17"/>
              </w:rPr>
              <w:t>Staff knowledge and confidence</w:t>
            </w:r>
          </w:p>
        </w:tc>
        <w:tc>
          <w:tcPr>
            <w:tcW w:w="4248" w:type="dxa"/>
          </w:tcPr>
          <w:p w14:paraId="34E69928" w14:textId="77777777" w:rsidR="008A0BF7" w:rsidRDefault="00D00288">
            <w:pPr>
              <w:spacing w:after="0" w:line="240" w:lineRule="auto"/>
              <w:rPr>
                <w:rFonts w:hint="eastAsia"/>
              </w:rPr>
            </w:pPr>
            <w:r>
              <w:rPr>
                <w:sz w:val="17"/>
              </w:rPr>
              <w:t xml:space="preserve">Provide targeted staff briefing / training on disability, adaptive teaching, sensory and communication needs, assistive resources and reasonable adjustments, using external professional advice </w:t>
            </w:r>
            <w:r>
              <w:rPr>
                <w:sz w:val="17"/>
              </w:rPr>
              <w:t>where appropriate.</w:t>
            </w:r>
          </w:p>
        </w:tc>
        <w:tc>
          <w:tcPr>
            <w:tcW w:w="1800" w:type="dxa"/>
          </w:tcPr>
          <w:p w14:paraId="0D8E70E5" w14:textId="77777777" w:rsidR="008A0BF7" w:rsidRDefault="00D00288">
            <w:pPr>
              <w:spacing w:after="0" w:line="240" w:lineRule="auto"/>
              <w:rPr>
                <w:rFonts w:hint="eastAsia"/>
              </w:rPr>
            </w:pPr>
            <w:r>
              <w:rPr>
                <w:sz w:val="17"/>
              </w:rPr>
              <w:t>SENCO</w:t>
            </w:r>
            <w:r>
              <w:rPr>
                <w:sz w:val="17"/>
              </w:rPr>
              <w:br/>
              <w:t>2026–27 and as needs arise</w:t>
            </w:r>
          </w:p>
        </w:tc>
        <w:tc>
          <w:tcPr>
            <w:tcW w:w="2088" w:type="dxa"/>
          </w:tcPr>
          <w:p w14:paraId="2C8DC11B" w14:textId="77777777" w:rsidR="008A0BF7" w:rsidRDefault="00D00288">
            <w:pPr>
              <w:spacing w:after="0" w:line="240" w:lineRule="auto"/>
              <w:rPr>
                <w:rFonts w:hint="eastAsia"/>
              </w:rPr>
            </w:pPr>
            <w:r>
              <w:rPr>
                <w:sz w:val="17"/>
              </w:rPr>
              <w:t>Staff can explain and implement agreed adjustments confidently and consistently.</w:t>
            </w:r>
          </w:p>
        </w:tc>
      </w:tr>
      <w:tr w:rsidR="008A0BF7" w14:paraId="18C31675" w14:textId="77777777">
        <w:trPr>
          <w:cantSplit/>
          <w:jc w:val="center"/>
        </w:trPr>
        <w:tc>
          <w:tcPr>
            <w:tcW w:w="1944" w:type="dxa"/>
          </w:tcPr>
          <w:p w14:paraId="13B74FFD" w14:textId="77777777" w:rsidR="008A0BF7" w:rsidRDefault="00D00288">
            <w:pPr>
              <w:spacing w:after="0" w:line="240" w:lineRule="auto"/>
              <w:rPr>
                <w:rFonts w:hint="eastAsia"/>
              </w:rPr>
            </w:pPr>
            <w:r>
              <w:rPr>
                <w:b/>
                <w:sz w:val="17"/>
              </w:rPr>
              <w:lastRenderedPageBreak/>
              <w:t>Accessible resources</w:t>
            </w:r>
          </w:p>
        </w:tc>
        <w:tc>
          <w:tcPr>
            <w:tcW w:w="4248" w:type="dxa"/>
          </w:tcPr>
          <w:p w14:paraId="7A845C99" w14:textId="77777777" w:rsidR="008A0BF7" w:rsidRDefault="00D00288">
            <w:pPr>
              <w:spacing w:after="0" w:line="240" w:lineRule="auto"/>
              <w:rPr>
                <w:rFonts w:hint="eastAsia"/>
              </w:rPr>
            </w:pPr>
            <w:r>
              <w:rPr>
                <w:sz w:val="17"/>
              </w:rPr>
              <w:t xml:space="preserve">Audit and maintain a core bank of accessible resources, including visual supports, overlays, </w:t>
            </w:r>
            <w:r>
              <w:rPr>
                <w:sz w:val="17"/>
              </w:rPr>
              <w:t>enlarged print options, reading guides, writing aids, sensory resources and suitable technology. Purchase additional resources where individual need requires.</w:t>
            </w:r>
          </w:p>
        </w:tc>
        <w:tc>
          <w:tcPr>
            <w:tcW w:w="1800" w:type="dxa"/>
          </w:tcPr>
          <w:p w14:paraId="42E1428F" w14:textId="77777777" w:rsidR="008A0BF7" w:rsidRDefault="00D00288">
            <w:pPr>
              <w:spacing w:after="0" w:line="240" w:lineRule="auto"/>
              <w:rPr>
                <w:rFonts w:hint="eastAsia"/>
              </w:rPr>
            </w:pPr>
            <w:r>
              <w:rPr>
                <w:sz w:val="17"/>
              </w:rPr>
              <w:t>SENCO / class teachers</w:t>
            </w:r>
            <w:r>
              <w:rPr>
                <w:sz w:val="17"/>
              </w:rPr>
              <w:br/>
              <w:t>By Spring 2027; ongoing</w:t>
            </w:r>
          </w:p>
        </w:tc>
        <w:tc>
          <w:tcPr>
            <w:tcW w:w="2088" w:type="dxa"/>
          </w:tcPr>
          <w:p w14:paraId="56C32DDB" w14:textId="77777777" w:rsidR="008A0BF7" w:rsidRDefault="00D00288">
            <w:pPr>
              <w:spacing w:after="0" w:line="240" w:lineRule="auto"/>
              <w:rPr>
                <w:rFonts w:hint="eastAsia"/>
              </w:rPr>
            </w:pPr>
            <w:r>
              <w:rPr>
                <w:sz w:val="17"/>
              </w:rPr>
              <w:t>Required resources are available promptly and their impact is reviewed.</w:t>
            </w:r>
          </w:p>
        </w:tc>
      </w:tr>
      <w:tr w:rsidR="008A0BF7" w14:paraId="0CBAEBE4" w14:textId="77777777">
        <w:trPr>
          <w:cantSplit/>
          <w:jc w:val="center"/>
        </w:trPr>
        <w:tc>
          <w:tcPr>
            <w:tcW w:w="1944" w:type="dxa"/>
          </w:tcPr>
          <w:p w14:paraId="0F414F90" w14:textId="77777777" w:rsidR="008A0BF7" w:rsidRDefault="00D00288">
            <w:pPr>
              <w:spacing w:after="0" w:line="240" w:lineRule="auto"/>
              <w:rPr>
                <w:rFonts w:hint="eastAsia"/>
              </w:rPr>
            </w:pPr>
            <w:r>
              <w:rPr>
                <w:b/>
                <w:sz w:val="17"/>
              </w:rPr>
              <w:t>Participation beyond lessons</w:t>
            </w:r>
          </w:p>
        </w:tc>
        <w:tc>
          <w:tcPr>
            <w:tcW w:w="4248" w:type="dxa"/>
          </w:tcPr>
          <w:p w14:paraId="5795FE9C" w14:textId="77777777" w:rsidR="008A0BF7" w:rsidRDefault="00D00288">
            <w:pPr>
              <w:spacing w:after="0" w:line="240" w:lineRule="auto"/>
              <w:rPr>
                <w:rFonts w:hint="eastAsia"/>
              </w:rPr>
            </w:pPr>
            <w:r>
              <w:rPr>
                <w:sz w:val="17"/>
              </w:rPr>
              <w:t>Review access to clubs, performances, sporting events, visits and residential opportunities. Make reasonable adjustments and obtain specialist advice where needed.</w:t>
            </w:r>
          </w:p>
        </w:tc>
        <w:tc>
          <w:tcPr>
            <w:tcW w:w="1800" w:type="dxa"/>
          </w:tcPr>
          <w:p w14:paraId="30558276" w14:textId="77777777" w:rsidR="008A0BF7" w:rsidRDefault="00D00288">
            <w:pPr>
              <w:spacing w:after="0" w:line="240" w:lineRule="auto"/>
              <w:rPr>
                <w:rFonts w:hint="eastAsia"/>
              </w:rPr>
            </w:pPr>
            <w:r>
              <w:rPr>
                <w:sz w:val="17"/>
              </w:rPr>
              <w:t>EVC / SENCO / activity leads</w:t>
            </w:r>
            <w:r>
              <w:rPr>
                <w:sz w:val="17"/>
              </w:rPr>
              <w:br/>
              <w:t>Ongoing</w:t>
            </w:r>
          </w:p>
        </w:tc>
        <w:tc>
          <w:tcPr>
            <w:tcW w:w="2088" w:type="dxa"/>
          </w:tcPr>
          <w:p w14:paraId="5B7AAFE6" w14:textId="77777777" w:rsidR="008A0BF7" w:rsidRDefault="00D00288">
            <w:pPr>
              <w:spacing w:after="0" w:line="240" w:lineRule="auto"/>
              <w:rPr>
                <w:rFonts w:hint="eastAsia"/>
              </w:rPr>
            </w:pPr>
            <w:r>
              <w:rPr>
                <w:sz w:val="17"/>
              </w:rPr>
              <w:t>Disabled pupils are not excluded from opportunities because adjustments were not considered in advance.</w:t>
            </w:r>
          </w:p>
        </w:tc>
      </w:tr>
      <w:tr w:rsidR="008A0BF7" w14:paraId="7DFA1F0A" w14:textId="77777777">
        <w:trPr>
          <w:cantSplit/>
          <w:jc w:val="center"/>
        </w:trPr>
        <w:tc>
          <w:tcPr>
            <w:tcW w:w="1944" w:type="dxa"/>
          </w:tcPr>
          <w:p w14:paraId="79F83B6D" w14:textId="77777777" w:rsidR="008A0BF7" w:rsidRDefault="00D00288">
            <w:pPr>
              <w:spacing w:after="0" w:line="240" w:lineRule="auto"/>
              <w:rPr>
                <w:rFonts w:hint="eastAsia"/>
              </w:rPr>
            </w:pPr>
            <w:r>
              <w:rPr>
                <w:b/>
                <w:sz w:val="17"/>
              </w:rPr>
              <w:t>Pupil and parent voice</w:t>
            </w:r>
          </w:p>
        </w:tc>
        <w:tc>
          <w:tcPr>
            <w:tcW w:w="4248" w:type="dxa"/>
          </w:tcPr>
          <w:p w14:paraId="430CCE3E" w14:textId="77777777" w:rsidR="008A0BF7" w:rsidRDefault="00D00288">
            <w:pPr>
              <w:spacing w:after="0" w:line="240" w:lineRule="auto"/>
              <w:rPr>
                <w:rFonts w:hint="eastAsia"/>
              </w:rPr>
            </w:pPr>
            <w:r>
              <w:rPr>
                <w:sz w:val="17"/>
              </w:rPr>
              <w:t>Build accessibility questions into relevant SEND / support reviews and seek feedback following significant adjustments or activities.</w:t>
            </w:r>
          </w:p>
        </w:tc>
        <w:tc>
          <w:tcPr>
            <w:tcW w:w="1800" w:type="dxa"/>
          </w:tcPr>
          <w:p w14:paraId="5D50EDEC" w14:textId="77777777" w:rsidR="008A0BF7" w:rsidRDefault="00D00288">
            <w:pPr>
              <w:spacing w:after="0" w:line="240" w:lineRule="auto"/>
              <w:rPr>
                <w:rFonts w:hint="eastAsia"/>
              </w:rPr>
            </w:pPr>
            <w:r>
              <w:rPr>
                <w:sz w:val="17"/>
              </w:rPr>
              <w:t>SENCO</w:t>
            </w:r>
            <w:r>
              <w:rPr>
                <w:sz w:val="17"/>
              </w:rPr>
              <w:br/>
              <w:t>2027–28 onwards</w:t>
            </w:r>
          </w:p>
        </w:tc>
        <w:tc>
          <w:tcPr>
            <w:tcW w:w="2088" w:type="dxa"/>
          </w:tcPr>
          <w:p w14:paraId="04C468EE" w14:textId="77777777" w:rsidR="008A0BF7" w:rsidRDefault="00D00288">
            <w:pPr>
              <w:spacing w:after="0" w:line="240" w:lineRule="auto"/>
              <w:rPr>
                <w:rFonts w:hint="eastAsia"/>
              </w:rPr>
            </w:pPr>
            <w:r>
              <w:rPr>
                <w:sz w:val="17"/>
              </w:rPr>
              <w:t>Pupil and family feedback informs changes and shows whether adjustments are effective.</w:t>
            </w:r>
          </w:p>
        </w:tc>
      </w:tr>
      <w:tr w:rsidR="008A0BF7" w14:paraId="5B0C5318" w14:textId="77777777">
        <w:trPr>
          <w:cantSplit/>
          <w:jc w:val="center"/>
        </w:trPr>
        <w:tc>
          <w:tcPr>
            <w:tcW w:w="1944" w:type="dxa"/>
          </w:tcPr>
          <w:p w14:paraId="7F85C5C1" w14:textId="77777777" w:rsidR="008A0BF7" w:rsidRDefault="00D00288">
            <w:pPr>
              <w:spacing w:after="0" w:line="240" w:lineRule="auto"/>
              <w:rPr>
                <w:rFonts w:hint="eastAsia"/>
              </w:rPr>
            </w:pPr>
            <w:r>
              <w:rPr>
                <w:b/>
                <w:sz w:val="17"/>
              </w:rPr>
              <w:t>Plan evaluation</w:t>
            </w:r>
          </w:p>
        </w:tc>
        <w:tc>
          <w:tcPr>
            <w:tcW w:w="4248" w:type="dxa"/>
          </w:tcPr>
          <w:p w14:paraId="4A007885" w14:textId="77777777" w:rsidR="008A0BF7" w:rsidRDefault="00D00288">
            <w:pPr>
              <w:spacing w:after="0" w:line="240" w:lineRule="auto"/>
              <w:rPr>
                <w:rFonts w:hint="eastAsia"/>
              </w:rPr>
            </w:pPr>
            <w:r>
              <w:rPr>
                <w:sz w:val="17"/>
              </w:rPr>
              <w:t xml:space="preserve">Evaluate curriculum-access actions, participation evidence and remaining barriers before preparing the next </w:t>
            </w:r>
            <w:r>
              <w:rPr>
                <w:sz w:val="17"/>
              </w:rPr>
              <w:t>accessibility plan.</w:t>
            </w:r>
          </w:p>
        </w:tc>
        <w:tc>
          <w:tcPr>
            <w:tcW w:w="1800" w:type="dxa"/>
          </w:tcPr>
          <w:p w14:paraId="0F1C6674" w14:textId="77777777" w:rsidR="008A0BF7" w:rsidRDefault="00D00288">
            <w:pPr>
              <w:spacing w:after="0" w:line="240" w:lineRule="auto"/>
              <w:rPr>
                <w:rFonts w:hint="eastAsia"/>
              </w:rPr>
            </w:pPr>
            <w:r>
              <w:rPr>
                <w:sz w:val="17"/>
              </w:rPr>
              <w:t>HT / SENCO / Governing Body</w:t>
            </w:r>
            <w:r>
              <w:rPr>
                <w:sz w:val="17"/>
              </w:rPr>
              <w:br/>
              <w:t>Summer 2029</w:t>
            </w:r>
          </w:p>
        </w:tc>
        <w:tc>
          <w:tcPr>
            <w:tcW w:w="2088" w:type="dxa"/>
          </w:tcPr>
          <w:p w14:paraId="4F932557" w14:textId="77777777" w:rsidR="008A0BF7" w:rsidRDefault="00D00288">
            <w:pPr>
              <w:spacing w:after="0" w:line="240" w:lineRule="auto"/>
              <w:rPr>
                <w:rFonts w:hint="eastAsia"/>
              </w:rPr>
            </w:pPr>
            <w:r>
              <w:rPr>
                <w:sz w:val="17"/>
              </w:rPr>
              <w:t>Clear evidence of impact and priorities informs the 2029–32 plan.</w:t>
            </w:r>
          </w:p>
        </w:tc>
      </w:tr>
    </w:tbl>
    <w:p w14:paraId="02DCAD6B" w14:textId="77777777" w:rsidR="008A0BF7" w:rsidRDefault="00D00288">
      <w:pPr>
        <w:pStyle w:val="Heading1"/>
        <w:pageBreakBefore/>
      </w:pPr>
      <w:r>
        <w:lastRenderedPageBreak/>
        <w:t>7. Priority 2 – Improving the Physical Environment</w:t>
      </w:r>
    </w:p>
    <w:p w14:paraId="66F59259" w14:textId="77777777" w:rsidR="008A0BF7" w:rsidRDefault="00D00288">
      <w:pPr>
        <w:spacing w:line="252" w:lineRule="auto"/>
        <w:rPr>
          <w:rFonts w:hint="eastAsia"/>
        </w:rPr>
      </w:pPr>
      <w:r>
        <w:t>The school is largely accessible, but there are specific route and threshold issues that should be assessed and improved over the life of this plan. The 2026 Department for Education guidance on inclusive education estates will be used to inform the school’s approach to practical, high-impact adaptations.</w:t>
      </w:r>
    </w:p>
    <w:tbl>
      <w:tblPr>
        <w:tblStyle w:val="TableGrid"/>
        <w:tblW w:w="0" w:type="auto"/>
        <w:jc w:val="center"/>
        <w:tblLook w:val="04A0" w:firstRow="1" w:lastRow="0" w:firstColumn="1" w:lastColumn="0" w:noHBand="0" w:noVBand="1"/>
      </w:tblPr>
      <w:tblGrid>
        <w:gridCol w:w="1944"/>
        <w:gridCol w:w="4248"/>
        <w:gridCol w:w="1800"/>
        <w:gridCol w:w="2088"/>
      </w:tblGrid>
      <w:tr w:rsidR="008A0BF7" w14:paraId="486F2E56" w14:textId="77777777">
        <w:trPr>
          <w:cantSplit/>
          <w:tblHeader/>
          <w:jc w:val="center"/>
        </w:trPr>
        <w:tc>
          <w:tcPr>
            <w:tcW w:w="1944" w:type="dxa"/>
            <w:shd w:val="clear" w:color="auto" w:fill="EDE9F8"/>
          </w:tcPr>
          <w:p w14:paraId="75FC4E2D" w14:textId="77777777" w:rsidR="008A0BF7" w:rsidRDefault="00D00288">
            <w:pPr>
              <w:spacing w:after="0" w:line="240" w:lineRule="auto"/>
              <w:rPr>
                <w:rFonts w:hint="eastAsia"/>
              </w:rPr>
            </w:pPr>
            <w:r>
              <w:rPr>
                <w:b/>
                <w:sz w:val="17"/>
              </w:rPr>
              <w:t>Priority</w:t>
            </w:r>
          </w:p>
        </w:tc>
        <w:tc>
          <w:tcPr>
            <w:tcW w:w="4248" w:type="dxa"/>
            <w:shd w:val="clear" w:color="auto" w:fill="EDE9F8"/>
          </w:tcPr>
          <w:p w14:paraId="6B501020" w14:textId="77777777" w:rsidR="008A0BF7" w:rsidRDefault="00D00288">
            <w:pPr>
              <w:spacing w:after="0" w:line="240" w:lineRule="auto"/>
              <w:rPr>
                <w:rFonts w:hint="eastAsia"/>
              </w:rPr>
            </w:pPr>
            <w:r>
              <w:rPr>
                <w:b/>
                <w:sz w:val="17"/>
              </w:rPr>
              <w:t>Actions / measures</w:t>
            </w:r>
          </w:p>
        </w:tc>
        <w:tc>
          <w:tcPr>
            <w:tcW w:w="1800" w:type="dxa"/>
            <w:shd w:val="clear" w:color="auto" w:fill="EDE9F8"/>
          </w:tcPr>
          <w:p w14:paraId="79879E86" w14:textId="77777777" w:rsidR="008A0BF7" w:rsidRDefault="00D00288">
            <w:pPr>
              <w:spacing w:after="0" w:line="240" w:lineRule="auto"/>
              <w:rPr>
                <w:rFonts w:hint="eastAsia"/>
              </w:rPr>
            </w:pPr>
            <w:r>
              <w:rPr>
                <w:b/>
                <w:sz w:val="17"/>
              </w:rPr>
              <w:t>Lead &amp; timescale</w:t>
            </w:r>
          </w:p>
        </w:tc>
        <w:tc>
          <w:tcPr>
            <w:tcW w:w="2088" w:type="dxa"/>
            <w:shd w:val="clear" w:color="auto" w:fill="EDE9F8"/>
          </w:tcPr>
          <w:p w14:paraId="62D9611B" w14:textId="77777777" w:rsidR="008A0BF7" w:rsidRDefault="00D00288">
            <w:pPr>
              <w:spacing w:after="0" w:line="240" w:lineRule="auto"/>
              <w:rPr>
                <w:rFonts w:hint="eastAsia"/>
              </w:rPr>
            </w:pPr>
            <w:r>
              <w:rPr>
                <w:b/>
                <w:sz w:val="17"/>
              </w:rPr>
              <w:t>Success criteria</w:t>
            </w:r>
          </w:p>
        </w:tc>
      </w:tr>
      <w:tr w:rsidR="008A0BF7" w14:paraId="491C1FFB" w14:textId="77777777">
        <w:trPr>
          <w:cantSplit/>
          <w:jc w:val="center"/>
        </w:trPr>
        <w:tc>
          <w:tcPr>
            <w:tcW w:w="1944" w:type="dxa"/>
          </w:tcPr>
          <w:p w14:paraId="6C5177CD" w14:textId="77777777" w:rsidR="008A0BF7" w:rsidRDefault="00D00288">
            <w:pPr>
              <w:spacing w:after="0" w:line="240" w:lineRule="auto"/>
              <w:rPr>
                <w:rFonts w:hint="eastAsia"/>
              </w:rPr>
            </w:pPr>
            <w:r>
              <w:rPr>
                <w:b/>
                <w:sz w:val="17"/>
              </w:rPr>
              <w:t>Full premises accessibility audit</w:t>
            </w:r>
          </w:p>
        </w:tc>
        <w:tc>
          <w:tcPr>
            <w:tcW w:w="4248" w:type="dxa"/>
          </w:tcPr>
          <w:p w14:paraId="0C6DD628" w14:textId="77777777" w:rsidR="008A0BF7" w:rsidRDefault="00D00288">
            <w:pPr>
              <w:spacing w:after="0" w:line="240" w:lineRule="auto"/>
              <w:rPr>
                <w:rFonts w:hint="eastAsia"/>
              </w:rPr>
            </w:pPr>
            <w:r>
              <w:rPr>
                <w:sz w:val="17"/>
              </w:rPr>
              <w:t xml:space="preserve">Complete a documented site walk covering routes, entrances, thresholds, door widths / opening forces, signage, toilets, lighting, acoustics, seating, outdoor areas, emergency </w:t>
            </w:r>
            <w:r>
              <w:rPr>
                <w:sz w:val="17"/>
              </w:rPr>
              <w:t>egress and any sensory barriers. Include pupil / family input where relevant.</w:t>
            </w:r>
          </w:p>
        </w:tc>
        <w:tc>
          <w:tcPr>
            <w:tcW w:w="1800" w:type="dxa"/>
          </w:tcPr>
          <w:p w14:paraId="6CBD788C" w14:textId="77777777" w:rsidR="008A0BF7" w:rsidRDefault="00D00288">
            <w:pPr>
              <w:spacing w:after="0" w:line="240" w:lineRule="auto"/>
              <w:rPr>
                <w:rFonts w:hint="eastAsia"/>
              </w:rPr>
            </w:pPr>
            <w:r>
              <w:rPr>
                <w:sz w:val="17"/>
              </w:rPr>
              <w:t>HT / SENCO / premises support</w:t>
            </w:r>
            <w:r>
              <w:rPr>
                <w:sz w:val="17"/>
              </w:rPr>
              <w:br/>
              <w:t>Autumn 2026</w:t>
            </w:r>
          </w:p>
        </w:tc>
        <w:tc>
          <w:tcPr>
            <w:tcW w:w="2088" w:type="dxa"/>
          </w:tcPr>
          <w:p w14:paraId="3BC67FA8" w14:textId="77777777" w:rsidR="008A0BF7" w:rsidRDefault="00D00288">
            <w:pPr>
              <w:spacing w:after="0" w:line="240" w:lineRule="auto"/>
              <w:rPr>
                <w:rFonts w:hint="eastAsia"/>
              </w:rPr>
            </w:pPr>
            <w:r>
              <w:rPr>
                <w:sz w:val="17"/>
              </w:rPr>
              <w:t>A prioritised action list is agreed, costed where necessary and reviewed by governors.</w:t>
            </w:r>
          </w:p>
        </w:tc>
      </w:tr>
      <w:tr w:rsidR="008A0BF7" w14:paraId="7B05FCCD" w14:textId="77777777">
        <w:trPr>
          <w:cantSplit/>
          <w:jc w:val="center"/>
        </w:trPr>
        <w:tc>
          <w:tcPr>
            <w:tcW w:w="1944" w:type="dxa"/>
          </w:tcPr>
          <w:p w14:paraId="5703B2C1" w14:textId="77777777" w:rsidR="008A0BF7" w:rsidRDefault="00D00288">
            <w:pPr>
              <w:spacing w:after="0" w:line="240" w:lineRule="auto"/>
              <w:rPr>
                <w:rFonts w:hint="eastAsia"/>
              </w:rPr>
            </w:pPr>
            <w:r>
              <w:rPr>
                <w:b/>
                <w:sz w:val="17"/>
              </w:rPr>
              <w:t>IT suite threshold</w:t>
            </w:r>
          </w:p>
        </w:tc>
        <w:tc>
          <w:tcPr>
            <w:tcW w:w="4248" w:type="dxa"/>
          </w:tcPr>
          <w:p w14:paraId="43ED7665" w14:textId="77777777" w:rsidR="008A0BF7" w:rsidRDefault="00D00288">
            <w:pPr>
              <w:spacing w:after="0" w:line="240" w:lineRule="auto"/>
              <w:rPr>
                <w:rFonts w:hint="eastAsia"/>
              </w:rPr>
            </w:pPr>
            <w:r>
              <w:rPr>
                <w:sz w:val="17"/>
              </w:rPr>
              <w:t>Assess the small raised threshold at the IT suite doorway. Fit a low-profile threshold solution or other appropriate permanent adjustment if the audit identifies a meaningful mobility / trip barrier.</w:t>
            </w:r>
          </w:p>
        </w:tc>
        <w:tc>
          <w:tcPr>
            <w:tcW w:w="1800" w:type="dxa"/>
          </w:tcPr>
          <w:p w14:paraId="07E3EA32" w14:textId="77777777" w:rsidR="008A0BF7" w:rsidRDefault="00D00288">
            <w:pPr>
              <w:spacing w:after="0" w:line="240" w:lineRule="auto"/>
              <w:rPr>
                <w:rFonts w:hint="eastAsia"/>
              </w:rPr>
            </w:pPr>
            <w:r>
              <w:rPr>
                <w:sz w:val="17"/>
              </w:rPr>
              <w:t>HT / premises support</w:t>
            </w:r>
            <w:r>
              <w:rPr>
                <w:sz w:val="17"/>
              </w:rPr>
              <w:br/>
              <w:t>By Spring 2027</w:t>
            </w:r>
          </w:p>
        </w:tc>
        <w:tc>
          <w:tcPr>
            <w:tcW w:w="2088" w:type="dxa"/>
          </w:tcPr>
          <w:p w14:paraId="4D9C2A0C" w14:textId="77777777" w:rsidR="008A0BF7" w:rsidRDefault="00D00288">
            <w:pPr>
              <w:spacing w:after="0" w:line="240" w:lineRule="auto"/>
              <w:rPr>
                <w:rFonts w:hint="eastAsia"/>
              </w:rPr>
            </w:pPr>
            <w:r>
              <w:rPr>
                <w:sz w:val="17"/>
              </w:rPr>
              <w:t>The doorway can be negotiated safely and independently as far as reasonably practicable.</w:t>
            </w:r>
          </w:p>
        </w:tc>
      </w:tr>
      <w:tr w:rsidR="008A0BF7" w14:paraId="27298FB2" w14:textId="77777777">
        <w:trPr>
          <w:cantSplit/>
          <w:jc w:val="center"/>
        </w:trPr>
        <w:tc>
          <w:tcPr>
            <w:tcW w:w="1944" w:type="dxa"/>
          </w:tcPr>
          <w:p w14:paraId="2FC03AA3" w14:textId="77777777" w:rsidR="008A0BF7" w:rsidRDefault="00D00288">
            <w:pPr>
              <w:spacing w:after="0" w:line="240" w:lineRule="auto"/>
              <w:rPr>
                <w:rFonts w:hint="eastAsia"/>
              </w:rPr>
            </w:pPr>
            <w:r>
              <w:rPr>
                <w:b/>
                <w:sz w:val="17"/>
              </w:rPr>
              <w:t>Hall to playground level change</w:t>
            </w:r>
          </w:p>
        </w:tc>
        <w:tc>
          <w:tcPr>
            <w:tcW w:w="4248" w:type="dxa"/>
          </w:tcPr>
          <w:p w14:paraId="7C9643EC" w14:textId="77777777" w:rsidR="008A0BF7" w:rsidRDefault="00D00288">
            <w:pPr>
              <w:spacing w:after="0" w:line="240" w:lineRule="auto"/>
              <w:rPr>
                <w:rFonts w:hint="eastAsia"/>
              </w:rPr>
            </w:pPr>
            <w:r>
              <w:rPr>
                <w:sz w:val="17"/>
              </w:rPr>
              <w:t>Keep the portable ramp readily available, in safe condition and known to staff. Assess whether a permanent graded threshold / ramp or other physical adaptation would provide a safer and more independent long-term solution.</w:t>
            </w:r>
          </w:p>
        </w:tc>
        <w:tc>
          <w:tcPr>
            <w:tcW w:w="1800" w:type="dxa"/>
          </w:tcPr>
          <w:p w14:paraId="2BB8A43B" w14:textId="77777777" w:rsidR="008A0BF7" w:rsidRDefault="00D00288">
            <w:pPr>
              <w:spacing w:after="0" w:line="240" w:lineRule="auto"/>
              <w:rPr>
                <w:rFonts w:hint="eastAsia"/>
              </w:rPr>
            </w:pPr>
            <w:r>
              <w:rPr>
                <w:sz w:val="17"/>
              </w:rPr>
              <w:t>HT / premises support</w:t>
            </w:r>
            <w:r>
              <w:rPr>
                <w:sz w:val="17"/>
              </w:rPr>
              <w:br/>
              <w:t>Safe arrangement immediate; options appraisal by Summer 2027</w:t>
            </w:r>
          </w:p>
        </w:tc>
        <w:tc>
          <w:tcPr>
            <w:tcW w:w="2088" w:type="dxa"/>
          </w:tcPr>
          <w:p w14:paraId="658129B2" w14:textId="77777777" w:rsidR="008A0BF7" w:rsidRDefault="00D00288">
            <w:pPr>
              <w:spacing w:after="0" w:line="240" w:lineRule="auto"/>
              <w:rPr>
                <w:rFonts w:hint="eastAsia"/>
              </w:rPr>
            </w:pPr>
            <w:r>
              <w:rPr>
                <w:sz w:val="17"/>
              </w:rPr>
              <w:t>The route can be used safely whenever required; a decision on permanent improvement is recorded.</w:t>
            </w:r>
          </w:p>
        </w:tc>
      </w:tr>
      <w:tr w:rsidR="008A0BF7" w14:paraId="7702FF31" w14:textId="77777777">
        <w:trPr>
          <w:cantSplit/>
          <w:jc w:val="center"/>
        </w:trPr>
        <w:tc>
          <w:tcPr>
            <w:tcW w:w="1944" w:type="dxa"/>
          </w:tcPr>
          <w:p w14:paraId="007A6713" w14:textId="77777777" w:rsidR="008A0BF7" w:rsidRDefault="00D00288">
            <w:pPr>
              <w:spacing w:after="0" w:line="240" w:lineRule="auto"/>
              <w:rPr>
                <w:rFonts w:hint="eastAsia"/>
              </w:rPr>
            </w:pPr>
            <w:r>
              <w:rPr>
                <w:b/>
                <w:sz w:val="17"/>
              </w:rPr>
              <w:t>Accessible field route</w:t>
            </w:r>
          </w:p>
        </w:tc>
        <w:tc>
          <w:tcPr>
            <w:tcW w:w="4248" w:type="dxa"/>
          </w:tcPr>
          <w:p w14:paraId="72D0FB59" w14:textId="77777777" w:rsidR="008A0BF7" w:rsidRDefault="00D00288">
            <w:pPr>
              <w:spacing w:after="0" w:line="240" w:lineRule="auto"/>
              <w:rPr>
                <w:rFonts w:hint="eastAsia"/>
              </w:rPr>
            </w:pPr>
            <w:r>
              <w:rPr>
                <w:sz w:val="17"/>
              </w:rPr>
              <w:t>Document and keep clear the alternative accessible route to the field via the Reception-area sloped access. Ensure staff know the route and include it in relevant risk assessments / event planning.</w:t>
            </w:r>
          </w:p>
        </w:tc>
        <w:tc>
          <w:tcPr>
            <w:tcW w:w="1800" w:type="dxa"/>
          </w:tcPr>
          <w:p w14:paraId="56476F0E" w14:textId="77777777" w:rsidR="008A0BF7" w:rsidRDefault="00D00288">
            <w:pPr>
              <w:spacing w:after="0" w:line="240" w:lineRule="auto"/>
              <w:rPr>
                <w:rFonts w:hint="eastAsia"/>
              </w:rPr>
            </w:pPr>
            <w:r>
              <w:rPr>
                <w:sz w:val="17"/>
              </w:rPr>
              <w:t>HT / staff</w:t>
            </w:r>
            <w:r>
              <w:rPr>
                <w:sz w:val="17"/>
              </w:rPr>
              <w:br/>
              <w:t>Autumn 2026; ongoing</w:t>
            </w:r>
          </w:p>
        </w:tc>
        <w:tc>
          <w:tcPr>
            <w:tcW w:w="2088" w:type="dxa"/>
          </w:tcPr>
          <w:p w14:paraId="0D7C5CDB" w14:textId="77777777" w:rsidR="008A0BF7" w:rsidRDefault="00D00288">
            <w:pPr>
              <w:spacing w:after="0" w:line="240" w:lineRule="auto"/>
              <w:rPr>
                <w:rFonts w:hint="eastAsia"/>
              </w:rPr>
            </w:pPr>
            <w:r>
              <w:rPr>
                <w:sz w:val="17"/>
              </w:rPr>
              <w:t>The alternative route remains unobstructed and is used effectively when step-free access is needed.</w:t>
            </w:r>
          </w:p>
        </w:tc>
      </w:tr>
      <w:tr w:rsidR="008A0BF7" w14:paraId="48016BEE" w14:textId="77777777">
        <w:trPr>
          <w:cantSplit/>
          <w:jc w:val="center"/>
        </w:trPr>
        <w:tc>
          <w:tcPr>
            <w:tcW w:w="1944" w:type="dxa"/>
          </w:tcPr>
          <w:p w14:paraId="4904FF80" w14:textId="77777777" w:rsidR="008A0BF7" w:rsidRDefault="00D00288">
            <w:pPr>
              <w:spacing w:after="0" w:line="240" w:lineRule="auto"/>
              <w:rPr>
                <w:rFonts w:hint="eastAsia"/>
              </w:rPr>
            </w:pPr>
            <w:r>
              <w:rPr>
                <w:b/>
                <w:sz w:val="17"/>
              </w:rPr>
              <w:t>High-priority adaptations</w:t>
            </w:r>
          </w:p>
        </w:tc>
        <w:tc>
          <w:tcPr>
            <w:tcW w:w="4248" w:type="dxa"/>
          </w:tcPr>
          <w:p w14:paraId="5FCA9F59" w14:textId="77777777" w:rsidR="008A0BF7" w:rsidRDefault="00D00288">
            <w:pPr>
              <w:spacing w:after="0" w:line="240" w:lineRule="auto"/>
              <w:rPr>
                <w:rFonts w:hint="eastAsia"/>
              </w:rPr>
            </w:pPr>
            <w:r>
              <w:rPr>
                <w:sz w:val="17"/>
              </w:rPr>
              <w:t>Implement reasonable high-priority works identified by the audit, subject to risk, feasibility, need and available budget. Consider signage, thresholds, door hardware, lighting, acoustics, sensory environment and outdoor access as relevant.</w:t>
            </w:r>
          </w:p>
        </w:tc>
        <w:tc>
          <w:tcPr>
            <w:tcW w:w="1800" w:type="dxa"/>
          </w:tcPr>
          <w:p w14:paraId="7B500EF7" w14:textId="77777777" w:rsidR="008A0BF7" w:rsidRDefault="00D00288">
            <w:pPr>
              <w:spacing w:after="0" w:line="240" w:lineRule="auto"/>
              <w:rPr>
                <w:rFonts w:hint="eastAsia"/>
              </w:rPr>
            </w:pPr>
            <w:r>
              <w:rPr>
                <w:sz w:val="17"/>
              </w:rPr>
              <w:t>HT / Governing Body</w:t>
            </w:r>
            <w:r>
              <w:rPr>
                <w:sz w:val="17"/>
              </w:rPr>
              <w:br/>
              <w:t>2027–28</w:t>
            </w:r>
          </w:p>
        </w:tc>
        <w:tc>
          <w:tcPr>
            <w:tcW w:w="2088" w:type="dxa"/>
          </w:tcPr>
          <w:p w14:paraId="495B20AD" w14:textId="77777777" w:rsidR="008A0BF7" w:rsidRDefault="00D00288">
            <w:pPr>
              <w:spacing w:after="0" w:line="240" w:lineRule="auto"/>
              <w:rPr>
                <w:rFonts w:hint="eastAsia"/>
              </w:rPr>
            </w:pPr>
            <w:r>
              <w:rPr>
                <w:sz w:val="17"/>
              </w:rPr>
              <w:t>Priority barriers identified in the audit are reduced or removed and progress is documented.</w:t>
            </w:r>
          </w:p>
        </w:tc>
      </w:tr>
      <w:tr w:rsidR="008A0BF7" w14:paraId="43EDFB49" w14:textId="77777777">
        <w:trPr>
          <w:cantSplit/>
          <w:jc w:val="center"/>
        </w:trPr>
        <w:tc>
          <w:tcPr>
            <w:tcW w:w="1944" w:type="dxa"/>
          </w:tcPr>
          <w:p w14:paraId="7996768E" w14:textId="77777777" w:rsidR="008A0BF7" w:rsidRDefault="00D00288">
            <w:pPr>
              <w:spacing w:after="0" w:line="240" w:lineRule="auto"/>
              <w:rPr>
                <w:rFonts w:hint="eastAsia"/>
              </w:rPr>
            </w:pPr>
            <w:r>
              <w:rPr>
                <w:b/>
                <w:sz w:val="17"/>
              </w:rPr>
              <w:t>Re-audit and renewal</w:t>
            </w:r>
          </w:p>
        </w:tc>
        <w:tc>
          <w:tcPr>
            <w:tcW w:w="4248" w:type="dxa"/>
          </w:tcPr>
          <w:p w14:paraId="1C4F1169" w14:textId="77777777" w:rsidR="008A0BF7" w:rsidRDefault="00D00288">
            <w:pPr>
              <w:spacing w:after="0" w:line="240" w:lineRule="auto"/>
              <w:rPr>
                <w:rFonts w:hint="eastAsia"/>
              </w:rPr>
            </w:pPr>
            <w:r>
              <w:rPr>
                <w:sz w:val="17"/>
              </w:rPr>
              <w:t xml:space="preserve">Revisit the premises audit, </w:t>
            </w:r>
            <w:r>
              <w:rPr>
                <w:sz w:val="17"/>
              </w:rPr>
              <w:t>record completed works and identify any outstanding accessibility needs for the next plan period.</w:t>
            </w:r>
          </w:p>
        </w:tc>
        <w:tc>
          <w:tcPr>
            <w:tcW w:w="1800" w:type="dxa"/>
          </w:tcPr>
          <w:p w14:paraId="205BAB4F" w14:textId="77777777" w:rsidR="008A0BF7" w:rsidRDefault="00D00288">
            <w:pPr>
              <w:spacing w:after="0" w:line="240" w:lineRule="auto"/>
              <w:rPr>
                <w:rFonts w:hint="eastAsia"/>
              </w:rPr>
            </w:pPr>
            <w:r>
              <w:rPr>
                <w:sz w:val="17"/>
              </w:rPr>
              <w:t>HT / SENCO / Governing Body</w:t>
            </w:r>
            <w:r>
              <w:rPr>
                <w:sz w:val="17"/>
              </w:rPr>
              <w:br/>
              <w:t>Summer 2029</w:t>
            </w:r>
          </w:p>
        </w:tc>
        <w:tc>
          <w:tcPr>
            <w:tcW w:w="2088" w:type="dxa"/>
          </w:tcPr>
          <w:p w14:paraId="77C7B815" w14:textId="77777777" w:rsidR="008A0BF7" w:rsidRDefault="00D00288">
            <w:pPr>
              <w:spacing w:after="0" w:line="240" w:lineRule="auto"/>
              <w:rPr>
                <w:rFonts w:hint="eastAsia"/>
              </w:rPr>
            </w:pPr>
            <w:r>
              <w:rPr>
                <w:sz w:val="17"/>
              </w:rPr>
              <w:t>The 2029–32 plan is based on an up-to-date site assessment rather than historic assumptions.</w:t>
            </w:r>
          </w:p>
        </w:tc>
      </w:tr>
    </w:tbl>
    <w:p w14:paraId="1BCDEA86" w14:textId="77777777" w:rsidR="008A0BF7" w:rsidRDefault="00D00288">
      <w:pPr>
        <w:pStyle w:val="Heading1"/>
      </w:pPr>
      <w:r>
        <w:t>8. Priority 3 – Improving Access to Information</w:t>
      </w:r>
    </w:p>
    <w:p w14:paraId="45AAE9B3" w14:textId="77777777" w:rsidR="008A0BF7" w:rsidRDefault="00D00288">
      <w:pPr>
        <w:spacing w:line="252" w:lineRule="auto"/>
        <w:rPr>
          <w:rFonts w:hint="eastAsia"/>
        </w:rPr>
      </w:pPr>
      <w:r>
        <w:t>The school already adapts written information for pupils where required and can provide information to families in alternative formats. This plan aims to make those arrangements more consistent, visible and accessible.</w:t>
      </w:r>
    </w:p>
    <w:tbl>
      <w:tblPr>
        <w:tblStyle w:val="TableGrid"/>
        <w:tblW w:w="0" w:type="auto"/>
        <w:jc w:val="center"/>
        <w:tblLook w:val="04A0" w:firstRow="1" w:lastRow="0" w:firstColumn="1" w:lastColumn="0" w:noHBand="0" w:noVBand="1"/>
      </w:tblPr>
      <w:tblGrid>
        <w:gridCol w:w="1944"/>
        <w:gridCol w:w="4248"/>
        <w:gridCol w:w="1800"/>
        <w:gridCol w:w="2088"/>
      </w:tblGrid>
      <w:tr w:rsidR="008A0BF7" w14:paraId="684A83A5" w14:textId="77777777">
        <w:trPr>
          <w:cantSplit/>
          <w:tblHeader/>
          <w:jc w:val="center"/>
        </w:trPr>
        <w:tc>
          <w:tcPr>
            <w:tcW w:w="1944" w:type="dxa"/>
            <w:shd w:val="clear" w:color="auto" w:fill="EDE9F8"/>
          </w:tcPr>
          <w:p w14:paraId="48D45BC2" w14:textId="77777777" w:rsidR="008A0BF7" w:rsidRDefault="00D00288">
            <w:pPr>
              <w:spacing w:after="0" w:line="240" w:lineRule="auto"/>
              <w:rPr>
                <w:rFonts w:hint="eastAsia"/>
              </w:rPr>
            </w:pPr>
            <w:r>
              <w:rPr>
                <w:b/>
                <w:sz w:val="17"/>
              </w:rPr>
              <w:t>Priority</w:t>
            </w:r>
          </w:p>
        </w:tc>
        <w:tc>
          <w:tcPr>
            <w:tcW w:w="4248" w:type="dxa"/>
            <w:shd w:val="clear" w:color="auto" w:fill="EDE9F8"/>
          </w:tcPr>
          <w:p w14:paraId="15D0F241" w14:textId="77777777" w:rsidR="008A0BF7" w:rsidRDefault="00D00288">
            <w:pPr>
              <w:spacing w:after="0" w:line="240" w:lineRule="auto"/>
              <w:rPr>
                <w:rFonts w:hint="eastAsia"/>
              </w:rPr>
            </w:pPr>
            <w:r>
              <w:rPr>
                <w:b/>
                <w:sz w:val="17"/>
              </w:rPr>
              <w:t>Actions / measures</w:t>
            </w:r>
          </w:p>
        </w:tc>
        <w:tc>
          <w:tcPr>
            <w:tcW w:w="1800" w:type="dxa"/>
            <w:shd w:val="clear" w:color="auto" w:fill="EDE9F8"/>
          </w:tcPr>
          <w:p w14:paraId="0BEA53C0" w14:textId="77777777" w:rsidR="008A0BF7" w:rsidRDefault="00D00288">
            <w:pPr>
              <w:spacing w:after="0" w:line="240" w:lineRule="auto"/>
              <w:rPr>
                <w:rFonts w:hint="eastAsia"/>
              </w:rPr>
            </w:pPr>
            <w:r>
              <w:rPr>
                <w:b/>
                <w:sz w:val="17"/>
              </w:rPr>
              <w:t>Lead &amp; timescale</w:t>
            </w:r>
          </w:p>
        </w:tc>
        <w:tc>
          <w:tcPr>
            <w:tcW w:w="2088" w:type="dxa"/>
            <w:shd w:val="clear" w:color="auto" w:fill="EDE9F8"/>
          </w:tcPr>
          <w:p w14:paraId="379B9FB4" w14:textId="77777777" w:rsidR="008A0BF7" w:rsidRDefault="00D00288">
            <w:pPr>
              <w:spacing w:after="0" w:line="240" w:lineRule="auto"/>
              <w:rPr>
                <w:rFonts w:hint="eastAsia"/>
              </w:rPr>
            </w:pPr>
            <w:r>
              <w:rPr>
                <w:b/>
                <w:sz w:val="17"/>
              </w:rPr>
              <w:t>Success criteria</w:t>
            </w:r>
          </w:p>
        </w:tc>
      </w:tr>
      <w:tr w:rsidR="008A0BF7" w14:paraId="24C58CD5" w14:textId="77777777">
        <w:trPr>
          <w:cantSplit/>
          <w:jc w:val="center"/>
        </w:trPr>
        <w:tc>
          <w:tcPr>
            <w:tcW w:w="1944" w:type="dxa"/>
          </w:tcPr>
          <w:p w14:paraId="0DA9472F" w14:textId="77777777" w:rsidR="008A0BF7" w:rsidRDefault="00D00288">
            <w:pPr>
              <w:spacing w:after="0" w:line="240" w:lineRule="auto"/>
              <w:rPr>
                <w:rFonts w:hint="eastAsia"/>
              </w:rPr>
            </w:pPr>
            <w:r>
              <w:rPr>
                <w:b/>
                <w:sz w:val="17"/>
              </w:rPr>
              <w:t>Alternative formats</w:t>
            </w:r>
          </w:p>
        </w:tc>
        <w:tc>
          <w:tcPr>
            <w:tcW w:w="4248" w:type="dxa"/>
          </w:tcPr>
          <w:p w14:paraId="321C7B51" w14:textId="77777777" w:rsidR="008A0BF7" w:rsidRDefault="00D00288">
            <w:pPr>
              <w:spacing w:after="0" w:line="240" w:lineRule="auto"/>
              <w:rPr>
                <w:rFonts w:hint="eastAsia"/>
              </w:rPr>
            </w:pPr>
            <w:r>
              <w:rPr>
                <w:sz w:val="17"/>
              </w:rPr>
              <w:t xml:space="preserve">Publish a clear statement that school information can be provided in alternative formats on request, including large print, coloured background, simplified / adapted format and </w:t>
            </w:r>
            <w:r>
              <w:rPr>
                <w:sz w:val="17"/>
              </w:rPr>
              <w:t>translated information where reasonably required.</w:t>
            </w:r>
          </w:p>
        </w:tc>
        <w:tc>
          <w:tcPr>
            <w:tcW w:w="1800" w:type="dxa"/>
          </w:tcPr>
          <w:p w14:paraId="09B39078" w14:textId="77777777" w:rsidR="008A0BF7" w:rsidRDefault="00D00288">
            <w:pPr>
              <w:spacing w:after="0" w:line="240" w:lineRule="auto"/>
              <w:rPr>
                <w:rFonts w:hint="eastAsia"/>
              </w:rPr>
            </w:pPr>
            <w:r>
              <w:rPr>
                <w:sz w:val="17"/>
              </w:rPr>
              <w:t>SBM / SENCO</w:t>
            </w:r>
            <w:r>
              <w:rPr>
                <w:sz w:val="17"/>
              </w:rPr>
              <w:br/>
              <w:t>Autumn 2026</w:t>
            </w:r>
          </w:p>
        </w:tc>
        <w:tc>
          <w:tcPr>
            <w:tcW w:w="2088" w:type="dxa"/>
          </w:tcPr>
          <w:p w14:paraId="48BA0E5B" w14:textId="77777777" w:rsidR="008A0BF7" w:rsidRDefault="00D00288">
            <w:pPr>
              <w:spacing w:after="0" w:line="240" w:lineRule="auto"/>
              <w:rPr>
                <w:rFonts w:hint="eastAsia"/>
              </w:rPr>
            </w:pPr>
            <w:r>
              <w:rPr>
                <w:sz w:val="17"/>
              </w:rPr>
              <w:t>Families know how to request accessible information and requests are responded to promptly.</w:t>
            </w:r>
          </w:p>
        </w:tc>
      </w:tr>
      <w:tr w:rsidR="008A0BF7" w14:paraId="561EB083" w14:textId="77777777">
        <w:trPr>
          <w:cantSplit/>
          <w:jc w:val="center"/>
        </w:trPr>
        <w:tc>
          <w:tcPr>
            <w:tcW w:w="1944" w:type="dxa"/>
          </w:tcPr>
          <w:p w14:paraId="49B87DB4" w14:textId="77777777" w:rsidR="008A0BF7" w:rsidRDefault="00D00288">
            <w:pPr>
              <w:spacing w:after="0" w:line="240" w:lineRule="auto"/>
              <w:rPr>
                <w:rFonts w:hint="eastAsia"/>
              </w:rPr>
            </w:pPr>
            <w:r>
              <w:rPr>
                <w:b/>
                <w:sz w:val="17"/>
              </w:rPr>
              <w:t>Accessible school documents</w:t>
            </w:r>
          </w:p>
        </w:tc>
        <w:tc>
          <w:tcPr>
            <w:tcW w:w="4248" w:type="dxa"/>
          </w:tcPr>
          <w:p w14:paraId="45BB3051" w14:textId="77777777" w:rsidR="008A0BF7" w:rsidRDefault="00D00288">
            <w:pPr>
              <w:spacing w:after="0" w:line="240" w:lineRule="auto"/>
              <w:rPr>
                <w:rFonts w:hint="eastAsia"/>
              </w:rPr>
            </w:pPr>
            <w:r>
              <w:rPr>
                <w:sz w:val="17"/>
              </w:rPr>
              <w:t>Use clear layouts, readable fonts, headings, meaningful link text and accessible electronic formats for key parent / pupil documents. Avoid relying on colour alone to communicate meaning.</w:t>
            </w:r>
          </w:p>
        </w:tc>
        <w:tc>
          <w:tcPr>
            <w:tcW w:w="1800" w:type="dxa"/>
          </w:tcPr>
          <w:p w14:paraId="393969AB" w14:textId="77777777" w:rsidR="008A0BF7" w:rsidRDefault="00D00288">
            <w:pPr>
              <w:spacing w:after="0" w:line="240" w:lineRule="auto"/>
              <w:rPr>
                <w:rFonts w:hint="eastAsia"/>
              </w:rPr>
            </w:pPr>
            <w:r>
              <w:rPr>
                <w:sz w:val="17"/>
              </w:rPr>
              <w:t>HT / SBM / staff</w:t>
            </w:r>
            <w:r>
              <w:rPr>
                <w:sz w:val="17"/>
              </w:rPr>
              <w:br/>
              <w:t>2026–27 onwards</w:t>
            </w:r>
          </w:p>
        </w:tc>
        <w:tc>
          <w:tcPr>
            <w:tcW w:w="2088" w:type="dxa"/>
          </w:tcPr>
          <w:p w14:paraId="6A97A195" w14:textId="77777777" w:rsidR="008A0BF7" w:rsidRDefault="00D00288">
            <w:pPr>
              <w:spacing w:after="0" w:line="240" w:lineRule="auto"/>
              <w:rPr>
                <w:rFonts w:hint="eastAsia"/>
              </w:rPr>
            </w:pPr>
            <w:r>
              <w:rPr>
                <w:sz w:val="17"/>
              </w:rPr>
              <w:t>Key documents are easier to read, navigate and use with assistive technology.</w:t>
            </w:r>
          </w:p>
        </w:tc>
      </w:tr>
      <w:tr w:rsidR="008A0BF7" w14:paraId="25B41DB8" w14:textId="77777777">
        <w:trPr>
          <w:cantSplit/>
          <w:jc w:val="center"/>
        </w:trPr>
        <w:tc>
          <w:tcPr>
            <w:tcW w:w="1944" w:type="dxa"/>
          </w:tcPr>
          <w:p w14:paraId="72667431" w14:textId="77777777" w:rsidR="008A0BF7" w:rsidRDefault="00D00288">
            <w:pPr>
              <w:spacing w:after="0" w:line="240" w:lineRule="auto"/>
              <w:rPr>
                <w:rFonts w:hint="eastAsia"/>
              </w:rPr>
            </w:pPr>
            <w:r>
              <w:rPr>
                <w:b/>
                <w:sz w:val="17"/>
              </w:rPr>
              <w:t>Pupil information</w:t>
            </w:r>
          </w:p>
        </w:tc>
        <w:tc>
          <w:tcPr>
            <w:tcW w:w="4248" w:type="dxa"/>
          </w:tcPr>
          <w:p w14:paraId="5F847D80" w14:textId="77777777" w:rsidR="008A0BF7" w:rsidRDefault="00D00288">
            <w:pPr>
              <w:spacing w:after="0" w:line="240" w:lineRule="auto"/>
              <w:rPr>
                <w:rFonts w:hint="eastAsia"/>
              </w:rPr>
            </w:pPr>
            <w:r>
              <w:rPr>
                <w:sz w:val="17"/>
              </w:rPr>
              <w:t>Continue to provide adapted written information for pupils, including enlarged print, coloured backgrounds / overlays, printed copies, visual timetables, symbols and technology where these support access.</w:t>
            </w:r>
          </w:p>
        </w:tc>
        <w:tc>
          <w:tcPr>
            <w:tcW w:w="1800" w:type="dxa"/>
          </w:tcPr>
          <w:p w14:paraId="78CF8185" w14:textId="77777777" w:rsidR="008A0BF7" w:rsidRDefault="00D00288">
            <w:pPr>
              <w:spacing w:after="0" w:line="240" w:lineRule="auto"/>
              <w:rPr>
                <w:rFonts w:hint="eastAsia"/>
              </w:rPr>
            </w:pPr>
            <w:r>
              <w:rPr>
                <w:sz w:val="17"/>
              </w:rPr>
              <w:t>SENCO / teachers / support staff</w:t>
            </w:r>
            <w:r>
              <w:rPr>
                <w:sz w:val="17"/>
              </w:rPr>
              <w:br/>
              <w:t>Ongoing</w:t>
            </w:r>
          </w:p>
        </w:tc>
        <w:tc>
          <w:tcPr>
            <w:tcW w:w="2088" w:type="dxa"/>
          </w:tcPr>
          <w:p w14:paraId="4BA8CC58" w14:textId="77777777" w:rsidR="008A0BF7" w:rsidRDefault="00D00288">
            <w:pPr>
              <w:spacing w:after="0" w:line="240" w:lineRule="auto"/>
              <w:rPr>
                <w:rFonts w:hint="eastAsia"/>
              </w:rPr>
            </w:pPr>
            <w:r>
              <w:rPr>
                <w:sz w:val="17"/>
              </w:rPr>
              <w:t>Pupils receive information in a form they can access and use effectively.</w:t>
            </w:r>
          </w:p>
        </w:tc>
      </w:tr>
      <w:tr w:rsidR="008A0BF7" w14:paraId="4774BFBF" w14:textId="77777777">
        <w:trPr>
          <w:cantSplit/>
          <w:jc w:val="center"/>
        </w:trPr>
        <w:tc>
          <w:tcPr>
            <w:tcW w:w="1944" w:type="dxa"/>
          </w:tcPr>
          <w:p w14:paraId="09E4D5D8" w14:textId="77777777" w:rsidR="008A0BF7" w:rsidRDefault="00D00288">
            <w:pPr>
              <w:spacing w:after="0" w:line="240" w:lineRule="auto"/>
              <w:rPr>
                <w:rFonts w:hint="eastAsia"/>
              </w:rPr>
            </w:pPr>
            <w:r>
              <w:rPr>
                <w:b/>
                <w:sz w:val="17"/>
              </w:rPr>
              <w:t>Website accessibility</w:t>
            </w:r>
          </w:p>
        </w:tc>
        <w:tc>
          <w:tcPr>
            <w:tcW w:w="4248" w:type="dxa"/>
          </w:tcPr>
          <w:p w14:paraId="2AEC6336" w14:textId="77777777" w:rsidR="008A0BF7" w:rsidRDefault="00D00288">
            <w:pPr>
              <w:spacing w:after="0" w:line="240" w:lineRule="auto"/>
              <w:rPr>
                <w:rFonts w:hint="eastAsia"/>
              </w:rPr>
            </w:pPr>
            <w:r>
              <w:rPr>
                <w:sz w:val="17"/>
              </w:rPr>
              <w:t>Review the accessibility of key statutory and parent-facing website information, including document formats and the route for requesting an alternative format.</w:t>
            </w:r>
          </w:p>
        </w:tc>
        <w:tc>
          <w:tcPr>
            <w:tcW w:w="1800" w:type="dxa"/>
          </w:tcPr>
          <w:p w14:paraId="49A6DABE" w14:textId="77777777" w:rsidR="008A0BF7" w:rsidRDefault="00D00288">
            <w:pPr>
              <w:spacing w:after="0" w:line="240" w:lineRule="auto"/>
              <w:rPr>
                <w:rFonts w:hint="eastAsia"/>
              </w:rPr>
            </w:pPr>
            <w:r>
              <w:rPr>
                <w:sz w:val="17"/>
              </w:rPr>
              <w:t>HT / SBM</w:t>
            </w:r>
            <w:r>
              <w:rPr>
                <w:sz w:val="17"/>
              </w:rPr>
              <w:br/>
              <w:t>2027–28</w:t>
            </w:r>
          </w:p>
        </w:tc>
        <w:tc>
          <w:tcPr>
            <w:tcW w:w="2088" w:type="dxa"/>
          </w:tcPr>
          <w:p w14:paraId="212299D8" w14:textId="77777777" w:rsidR="008A0BF7" w:rsidRDefault="00D00288">
            <w:pPr>
              <w:spacing w:after="0" w:line="240" w:lineRule="auto"/>
              <w:rPr>
                <w:rFonts w:hint="eastAsia"/>
              </w:rPr>
            </w:pPr>
            <w:r>
              <w:rPr>
                <w:sz w:val="17"/>
              </w:rPr>
              <w:t>Key information is easy to locate and accessibility requests are clearly signposted.</w:t>
            </w:r>
          </w:p>
        </w:tc>
      </w:tr>
      <w:tr w:rsidR="008A0BF7" w14:paraId="35AB9CF2" w14:textId="77777777">
        <w:trPr>
          <w:cantSplit/>
          <w:jc w:val="center"/>
        </w:trPr>
        <w:tc>
          <w:tcPr>
            <w:tcW w:w="1944" w:type="dxa"/>
          </w:tcPr>
          <w:p w14:paraId="64ECD8C7" w14:textId="77777777" w:rsidR="008A0BF7" w:rsidRDefault="00D00288">
            <w:pPr>
              <w:spacing w:after="0" w:line="240" w:lineRule="auto"/>
              <w:rPr>
                <w:rFonts w:hint="eastAsia"/>
              </w:rPr>
            </w:pPr>
            <w:r>
              <w:rPr>
                <w:b/>
                <w:sz w:val="17"/>
              </w:rPr>
              <w:lastRenderedPageBreak/>
              <w:t>Review impact</w:t>
            </w:r>
          </w:p>
        </w:tc>
        <w:tc>
          <w:tcPr>
            <w:tcW w:w="4248" w:type="dxa"/>
          </w:tcPr>
          <w:p w14:paraId="6D4534B0" w14:textId="77777777" w:rsidR="008A0BF7" w:rsidRDefault="00D00288">
            <w:pPr>
              <w:spacing w:after="0" w:line="240" w:lineRule="auto"/>
              <w:rPr>
                <w:rFonts w:hint="eastAsia"/>
              </w:rPr>
            </w:pPr>
            <w:r>
              <w:rPr>
                <w:sz w:val="17"/>
              </w:rPr>
              <w:t>Seek feedback from pupils / families where adapted information has been provided and refine arrangements accordingly.</w:t>
            </w:r>
          </w:p>
        </w:tc>
        <w:tc>
          <w:tcPr>
            <w:tcW w:w="1800" w:type="dxa"/>
          </w:tcPr>
          <w:p w14:paraId="13034172" w14:textId="77777777" w:rsidR="008A0BF7" w:rsidRDefault="00D00288">
            <w:pPr>
              <w:spacing w:after="0" w:line="240" w:lineRule="auto"/>
              <w:rPr>
                <w:rFonts w:hint="eastAsia"/>
              </w:rPr>
            </w:pPr>
            <w:r>
              <w:rPr>
                <w:sz w:val="17"/>
              </w:rPr>
              <w:t>SENCO / SBM</w:t>
            </w:r>
            <w:r>
              <w:rPr>
                <w:sz w:val="17"/>
              </w:rPr>
              <w:br/>
              <w:t>2027–29</w:t>
            </w:r>
          </w:p>
        </w:tc>
        <w:tc>
          <w:tcPr>
            <w:tcW w:w="2088" w:type="dxa"/>
          </w:tcPr>
          <w:p w14:paraId="7EF26F7A" w14:textId="77777777" w:rsidR="008A0BF7" w:rsidRDefault="00D00288">
            <w:pPr>
              <w:spacing w:after="0" w:line="240" w:lineRule="auto"/>
              <w:rPr>
                <w:rFonts w:hint="eastAsia"/>
              </w:rPr>
            </w:pPr>
            <w:r>
              <w:rPr>
                <w:sz w:val="17"/>
              </w:rPr>
              <w:t>Evidence shows that accessible formats are meeting identified communication needs.</w:t>
            </w:r>
          </w:p>
        </w:tc>
      </w:tr>
    </w:tbl>
    <w:p w14:paraId="13B0D30C" w14:textId="77777777" w:rsidR="008A0BF7" w:rsidRDefault="00D00288">
      <w:pPr>
        <w:pStyle w:val="Heading1"/>
      </w:pPr>
      <w:r>
        <w:t>9. Training and Professional Advice</w:t>
      </w:r>
    </w:p>
    <w:p w14:paraId="019D32C1" w14:textId="77777777" w:rsidR="008A0BF7" w:rsidRDefault="00D00288">
      <w:pPr>
        <w:spacing w:line="252" w:lineRule="auto"/>
        <w:rPr>
          <w:rFonts w:hint="eastAsia"/>
        </w:rPr>
      </w:pPr>
      <w:r>
        <w:t>Accessibility training will be proportionate to the needs of pupils and the school. Whole-staff or targeted training may cover equality and disability awareness, SEND, communication, sensory processing, medical needs, assistive technology, physical access and emergency planning. The school will seek advice from Essex County Council, health professionals, specialist teachers, therapists and other relevant services where specialist input is required.</w:t>
      </w:r>
    </w:p>
    <w:p w14:paraId="06B0BCDB" w14:textId="77777777" w:rsidR="008A0BF7" w:rsidRDefault="00D00288">
      <w:pPr>
        <w:pStyle w:val="Heading1"/>
      </w:pPr>
      <w:r>
        <w:t>10. Funding and Prioritisation</w:t>
      </w:r>
    </w:p>
    <w:p w14:paraId="4549CD84" w14:textId="77777777" w:rsidR="008A0BF7" w:rsidRDefault="00D00288">
      <w:pPr>
        <w:spacing w:line="252" w:lineRule="auto"/>
        <w:rPr>
          <w:rFonts w:hint="eastAsia"/>
        </w:rPr>
      </w:pPr>
      <w:r>
        <w:t>The Governing Body will have regard to the need to allocate adequate resources for implementation of this plan. Some adjustments will be low-cost or procedural; others may require premises work, specialist equipment or external advice. Priorities will be determined by individual need, safety, the extent of the barrier, anticipated benefit, statutory duties, feasibility and available funding. Accessibility will be considered when planned maintenance, refurbishment, procurement or building work takes place so</w:t>
      </w:r>
      <w:r>
        <w:t xml:space="preserve"> that opportunities to remove barriers are not missed.</w:t>
      </w:r>
    </w:p>
    <w:p w14:paraId="3B5E0986" w14:textId="77777777" w:rsidR="008A0BF7" w:rsidRDefault="00D00288">
      <w:pPr>
        <w:pStyle w:val="Heading1"/>
      </w:pPr>
      <w:r>
        <w:t>11. Monitoring, Review and Evidence</w:t>
      </w:r>
    </w:p>
    <w:p w14:paraId="21A01D44" w14:textId="77777777" w:rsidR="008A0BF7" w:rsidRDefault="00D00288">
      <w:pPr>
        <w:spacing w:line="252" w:lineRule="auto"/>
        <w:rPr>
          <w:rFonts w:hint="eastAsia"/>
        </w:rPr>
      </w:pPr>
      <w:r>
        <w:t>Progress against this plan will be reviewed at least annually by the Headteacher, SENCO and Governing Body. The school will retain proportionate evidence of actions completed, barriers identified, expenditure where relevant and the impact of adjustments. The plan will be revised sooner than 2029 if significant changes to pupils’ needs, premises, legislation or statutory guidance make this necessary.</w:t>
      </w:r>
    </w:p>
    <w:tbl>
      <w:tblPr>
        <w:tblStyle w:val="TableGrid"/>
        <w:tblW w:w="0" w:type="auto"/>
        <w:jc w:val="center"/>
        <w:tblLook w:val="04A0" w:firstRow="1" w:lastRow="0" w:firstColumn="1" w:lastColumn="0" w:noHBand="0" w:noVBand="1"/>
      </w:tblPr>
      <w:tblGrid>
        <w:gridCol w:w="2541"/>
        <w:gridCol w:w="2541"/>
        <w:gridCol w:w="2541"/>
        <w:gridCol w:w="2541"/>
      </w:tblGrid>
      <w:tr w:rsidR="008A0BF7" w14:paraId="6F43B3EB" w14:textId="77777777">
        <w:trPr>
          <w:cantSplit/>
          <w:tblHeader/>
          <w:jc w:val="center"/>
        </w:trPr>
        <w:tc>
          <w:tcPr>
            <w:tcW w:w="2541" w:type="dxa"/>
            <w:shd w:val="clear" w:color="auto" w:fill="EDE9F8"/>
          </w:tcPr>
          <w:p w14:paraId="168F8D67" w14:textId="77777777" w:rsidR="008A0BF7" w:rsidRDefault="00D00288">
            <w:pPr>
              <w:spacing w:after="0" w:line="240" w:lineRule="auto"/>
              <w:rPr>
                <w:rFonts w:hint="eastAsia"/>
              </w:rPr>
            </w:pPr>
            <w:r>
              <w:rPr>
                <w:b/>
                <w:sz w:val="17"/>
              </w:rPr>
              <w:t>Review point</w:t>
            </w:r>
          </w:p>
        </w:tc>
        <w:tc>
          <w:tcPr>
            <w:tcW w:w="2541" w:type="dxa"/>
            <w:shd w:val="clear" w:color="auto" w:fill="EDE9F8"/>
          </w:tcPr>
          <w:p w14:paraId="1C3057C6" w14:textId="77777777" w:rsidR="008A0BF7" w:rsidRDefault="00D00288">
            <w:pPr>
              <w:spacing w:after="0" w:line="240" w:lineRule="auto"/>
              <w:rPr>
                <w:rFonts w:hint="eastAsia"/>
              </w:rPr>
            </w:pPr>
            <w:r>
              <w:rPr>
                <w:b/>
                <w:sz w:val="17"/>
              </w:rPr>
              <w:t>Evidence considered</w:t>
            </w:r>
          </w:p>
        </w:tc>
        <w:tc>
          <w:tcPr>
            <w:tcW w:w="2541" w:type="dxa"/>
            <w:shd w:val="clear" w:color="auto" w:fill="EDE9F8"/>
          </w:tcPr>
          <w:p w14:paraId="05A418FB" w14:textId="77777777" w:rsidR="008A0BF7" w:rsidRDefault="00D00288">
            <w:pPr>
              <w:spacing w:after="0" w:line="240" w:lineRule="auto"/>
              <w:rPr>
                <w:rFonts w:hint="eastAsia"/>
              </w:rPr>
            </w:pPr>
            <w:r>
              <w:rPr>
                <w:b/>
                <w:sz w:val="17"/>
              </w:rPr>
              <w:t>Key decisions / updates</w:t>
            </w:r>
          </w:p>
        </w:tc>
        <w:tc>
          <w:tcPr>
            <w:tcW w:w="2541" w:type="dxa"/>
            <w:shd w:val="clear" w:color="auto" w:fill="EDE9F8"/>
          </w:tcPr>
          <w:p w14:paraId="035F04B1" w14:textId="77777777" w:rsidR="008A0BF7" w:rsidRDefault="00D00288">
            <w:pPr>
              <w:spacing w:after="0" w:line="240" w:lineRule="auto"/>
              <w:rPr>
                <w:rFonts w:hint="eastAsia"/>
              </w:rPr>
            </w:pPr>
            <w:r>
              <w:rPr>
                <w:b/>
                <w:sz w:val="17"/>
              </w:rPr>
              <w:t>Reported to governors</w:t>
            </w:r>
          </w:p>
        </w:tc>
      </w:tr>
      <w:tr w:rsidR="008A0BF7" w14:paraId="67A568A3" w14:textId="77777777">
        <w:trPr>
          <w:cantSplit/>
          <w:jc w:val="center"/>
        </w:trPr>
        <w:tc>
          <w:tcPr>
            <w:tcW w:w="2541" w:type="dxa"/>
          </w:tcPr>
          <w:p w14:paraId="135A325D" w14:textId="77777777" w:rsidR="008A0BF7" w:rsidRDefault="00D00288">
            <w:pPr>
              <w:spacing w:after="0" w:line="240" w:lineRule="auto"/>
              <w:rPr>
                <w:rFonts w:hint="eastAsia"/>
              </w:rPr>
            </w:pPr>
            <w:r>
              <w:rPr>
                <w:sz w:val="17"/>
              </w:rPr>
              <w:t>Summer 2027</w:t>
            </w:r>
          </w:p>
        </w:tc>
        <w:tc>
          <w:tcPr>
            <w:tcW w:w="2541" w:type="dxa"/>
          </w:tcPr>
          <w:p w14:paraId="064AD428" w14:textId="77777777" w:rsidR="008A0BF7" w:rsidRDefault="008A0BF7">
            <w:pPr>
              <w:spacing w:after="0" w:line="240" w:lineRule="auto"/>
              <w:rPr>
                <w:rFonts w:hint="eastAsia"/>
              </w:rPr>
            </w:pPr>
          </w:p>
        </w:tc>
        <w:tc>
          <w:tcPr>
            <w:tcW w:w="2541" w:type="dxa"/>
          </w:tcPr>
          <w:p w14:paraId="7FB9C91C" w14:textId="77777777" w:rsidR="008A0BF7" w:rsidRDefault="008A0BF7">
            <w:pPr>
              <w:spacing w:after="0" w:line="240" w:lineRule="auto"/>
              <w:rPr>
                <w:rFonts w:hint="eastAsia"/>
              </w:rPr>
            </w:pPr>
          </w:p>
        </w:tc>
        <w:tc>
          <w:tcPr>
            <w:tcW w:w="2541" w:type="dxa"/>
          </w:tcPr>
          <w:p w14:paraId="15653B6C" w14:textId="77777777" w:rsidR="008A0BF7" w:rsidRDefault="008A0BF7">
            <w:pPr>
              <w:spacing w:after="0" w:line="240" w:lineRule="auto"/>
              <w:rPr>
                <w:rFonts w:hint="eastAsia"/>
              </w:rPr>
            </w:pPr>
          </w:p>
        </w:tc>
      </w:tr>
      <w:tr w:rsidR="008A0BF7" w14:paraId="035A3BDF" w14:textId="77777777">
        <w:trPr>
          <w:cantSplit/>
          <w:jc w:val="center"/>
        </w:trPr>
        <w:tc>
          <w:tcPr>
            <w:tcW w:w="2541" w:type="dxa"/>
          </w:tcPr>
          <w:p w14:paraId="4FAC1D37" w14:textId="77777777" w:rsidR="008A0BF7" w:rsidRDefault="00D00288">
            <w:pPr>
              <w:spacing w:after="0" w:line="240" w:lineRule="auto"/>
              <w:rPr>
                <w:rFonts w:hint="eastAsia"/>
              </w:rPr>
            </w:pPr>
            <w:r>
              <w:rPr>
                <w:sz w:val="17"/>
              </w:rPr>
              <w:t>Summer 2028</w:t>
            </w:r>
          </w:p>
        </w:tc>
        <w:tc>
          <w:tcPr>
            <w:tcW w:w="2541" w:type="dxa"/>
          </w:tcPr>
          <w:p w14:paraId="18E9A551" w14:textId="77777777" w:rsidR="008A0BF7" w:rsidRDefault="008A0BF7">
            <w:pPr>
              <w:spacing w:after="0" w:line="240" w:lineRule="auto"/>
              <w:rPr>
                <w:rFonts w:hint="eastAsia"/>
              </w:rPr>
            </w:pPr>
          </w:p>
        </w:tc>
        <w:tc>
          <w:tcPr>
            <w:tcW w:w="2541" w:type="dxa"/>
          </w:tcPr>
          <w:p w14:paraId="5677E233" w14:textId="77777777" w:rsidR="008A0BF7" w:rsidRDefault="008A0BF7">
            <w:pPr>
              <w:spacing w:after="0" w:line="240" w:lineRule="auto"/>
              <w:rPr>
                <w:rFonts w:hint="eastAsia"/>
              </w:rPr>
            </w:pPr>
          </w:p>
        </w:tc>
        <w:tc>
          <w:tcPr>
            <w:tcW w:w="2541" w:type="dxa"/>
          </w:tcPr>
          <w:p w14:paraId="502DAD32" w14:textId="77777777" w:rsidR="008A0BF7" w:rsidRDefault="008A0BF7">
            <w:pPr>
              <w:spacing w:after="0" w:line="240" w:lineRule="auto"/>
              <w:rPr>
                <w:rFonts w:hint="eastAsia"/>
              </w:rPr>
            </w:pPr>
          </w:p>
        </w:tc>
      </w:tr>
      <w:tr w:rsidR="008A0BF7" w14:paraId="4571F45D" w14:textId="77777777">
        <w:trPr>
          <w:cantSplit/>
          <w:jc w:val="center"/>
        </w:trPr>
        <w:tc>
          <w:tcPr>
            <w:tcW w:w="2541" w:type="dxa"/>
          </w:tcPr>
          <w:p w14:paraId="37B79249" w14:textId="77777777" w:rsidR="008A0BF7" w:rsidRDefault="00D00288">
            <w:pPr>
              <w:spacing w:after="0" w:line="240" w:lineRule="auto"/>
              <w:rPr>
                <w:rFonts w:hint="eastAsia"/>
              </w:rPr>
            </w:pPr>
            <w:r>
              <w:rPr>
                <w:sz w:val="17"/>
              </w:rPr>
              <w:t>Summer 2029 – final review / next plan</w:t>
            </w:r>
          </w:p>
        </w:tc>
        <w:tc>
          <w:tcPr>
            <w:tcW w:w="2541" w:type="dxa"/>
          </w:tcPr>
          <w:p w14:paraId="1873BDCF" w14:textId="77777777" w:rsidR="008A0BF7" w:rsidRDefault="008A0BF7">
            <w:pPr>
              <w:spacing w:after="0" w:line="240" w:lineRule="auto"/>
              <w:rPr>
                <w:rFonts w:hint="eastAsia"/>
              </w:rPr>
            </w:pPr>
          </w:p>
        </w:tc>
        <w:tc>
          <w:tcPr>
            <w:tcW w:w="2541" w:type="dxa"/>
          </w:tcPr>
          <w:p w14:paraId="2B456606" w14:textId="77777777" w:rsidR="008A0BF7" w:rsidRDefault="008A0BF7">
            <w:pPr>
              <w:spacing w:after="0" w:line="240" w:lineRule="auto"/>
              <w:rPr>
                <w:rFonts w:hint="eastAsia"/>
              </w:rPr>
            </w:pPr>
          </w:p>
        </w:tc>
        <w:tc>
          <w:tcPr>
            <w:tcW w:w="2541" w:type="dxa"/>
          </w:tcPr>
          <w:p w14:paraId="2067B405" w14:textId="77777777" w:rsidR="008A0BF7" w:rsidRDefault="008A0BF7">
            <w:pPr>
              <w:spacing w:after="0" w:line="240" w:lineRule="auto"/>
              <w:rPr>
                <w:rFonts w:hint="eastAsia"/>
              </w:rPr>
            </w:pPr>
          </w:p>
        </w:tc>
      </w:tr>
    </w:tbl>
    <w:p w14:paraId="3FB877BD" w14:textId="77777777" w:rsidR="008A0BF7" w:rsidRDefault="00D00288">
      <w:pPr>
        <w:pStyle w:val="Heading1"/>
      </w:pPr>
      <w:r>
        <w:t xml:space="preserve">12. </w:t>
      </w:r>
      <w:r>
        <w:t>Publication, Alternative Formats and Complaints</w:t>
      </w:r>
    </w:p>
    <w:p w14:paraId="22D67357" w14:textId="77777777" w:rsidR="008A0BF7" w:rsidRDefault="00D00288">
      <w:pPr>
        <w:spacing w:line="252" w:lineRule="auto"/>
        <w:rPr>
          <w:rFonts w:hint="eastAsia"/>
        </w:rPr>
      </w:pPr>
      <w:r>
        <w:t>This accessibility plan will be published on the school website and will be available as a paper copy free of charge on request. The school will provide the plan, and other published information, in an alternative accessible format where reasonably required. Requests should be made through the School Office at office@manuden.essex.sch.uk or 01279 813370.</w:t>
      </w:r>
    </w:p>
    <w:p w14:paraId="181396BE" w14:textId="77777777" w:rsidR="008A0BF7" w:rsidRDefault="00D00288">
      <w:pPr>
        <w:spacing w:line="252" w:lineRule="auto"/>
        <w:rPr>
          <w:rFonts w:hint="eastAsia"/>
        </w:rPr>
      </w:pPr>
      <w:r>
        <w:t xml:space="preserve">Concerns about accessibility or reasonable adjustments should normally be raised with the class </w:t>
      </w:r>
      <w:r>
        <w:t>teacher, SENCO or Headteacher so that they can be addressed promptly. Formal complaints may be made through the school’s Complaints Policy. Nothing in the complaints procedure removes an individual’s statutory rights under equality or SEND legislation.</w:t>
      </w:r>
    </w:p>
    <w:p w14:paraId="428AAB19" w14:textId="77777777" w:rsidR="008A0BF7" w:rsidRDefault="00D00288">
      <w:pPr>
        <w:pStyle w:val="Heading1"/>
      </w:pPr>
      <w:r>
        <w:t>13. Key Legislation and Guidance</w:t>
      </w:r>
    </w:p>
    <w:p w14:paraId="5CD2C123" w14:textId="77777777" w:rsidR="008A0BF7" w:rsidRDefault="00D00288">
      <w:pPr>
        <w:pStyle w:val="ListBullet"/>
        <w:spacing w:after="40" w:line="240" w:lineRule="auto"/>
        <w:rPr>
          <w:rFonts w:hint="eastAsia"/>
        </w:rPr>
      </w:pPr>
      <w:r>
        <w:t>Equality Act 2010, including Schedule 10 – accessibility for disabled pupils;</w:t>
      </w:r>
    </w:p>
    <w:p w14:paraId="1C483A80" w14:textId="77777777" w:rsidR="008A0BF7" w:rsidRDefault="00D00288">
      <w:pPr>
        <w:pStyle w:val="ListBullet"/>
        <w:spacing w:after="40" w:line="240" w:lineRule="auto"/>
        <w:rPr>
          <w:rFonts w:hint="eastAsia"/>
        </w:rPr>
      </w:pPr>
      <w:r>
        <w:t>Children and Families Act 2014 and the SEND Code of Practice: 0 to 25 years;</w:t>
      </w:r>
    </w:p>
    <w:p w14:paraId="19F911BA" w14:textId="77777777" w:rsidR="008A0BF7" w:rsidRDefault="00D00288">
      <w:pPr>
        <w:pStyle w:val="ListBullet"/>
        <w:spacing w:after="40" w:line="240" w:lineRule="auto"/>
        <w:rPr>
          <w:rFonts w:hint="eastAsia"/>
        </w:rPr>
      </w:pPr>
      <w:r>
        <w:t>Department for Education – What maintained schools must or should publish online;</w:t>
      </w:r>
    </w:p>
    <w:p w14:paraId="0329BC27" w14:textId="77777777" w:rsidR="008A0BF7" w:rsidRDefault="00D00288">
      <w:pPr>
        <w:pStyle w:val="ListBullet"/>
        <w:spacing w:after="40" w:line="240" w:lineRule="auto"/>
        <w:rPr>
          <w:rFonts w:hint="eastAsia"/>
        </w:rPr>
      </w:pPr>
      <w:r>
        <w:t>Department for Education – Inclusive education estates (2026);</w:t>
      </w:r>
    </w:p>
    <w:p w14:paraId="7323E4C1" w14:textId="77777777" w:rsidR="008A0BF7" w:rsidRDefault="00D00288">
      <w:pPr>
        <w:pStyle w:val="ListBullet"/>
        <w:spacing w:after="40" w:line="240" w:lineRule="auto"/>
        <w:rPr>
          <w:rFonts w:hint="eastAsia"/>
        </w:rPr>
      </w:pPr>
      <w:r>
        <w:t>Department for Education – Equality Act 2010: advice for schools;</w:t>
      </w:r>
    </w:p>
    <w:p w14:paraId="430BAFFC" w14:textId="77777777" w:rsidR="008A0BF7" w:rsidRDefault="00D00288">
      <w:pPr>
        <w:pStyle w:val="ListBullet"/>
        <w:spacing w:after="40" w:line="240" w:lineRule="auto"/>
        <w:rPr>
          <w:rFonts w:hint="eastAsia"/>
        </w:rPr>
      </w:pPr>
      <w:r>
        <w:t>relevant Essex County Council SEND, health and safety and estates guidance.</w:t>
      </w:r>
    </w:p>
    <w:sectPr w:rsidR="008A0BF7" w:rsidSect="00034616">
      <w:headerReference w:type="default" r:id="rId9"/>
      <w:footerReference w:type="default" r:id="rId10"/>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CBED4" w14:textId="77777777" w:rsidR="00D00288" w:rsidRDefault="00D00288">
      <w:pPr>
        <w:spacing w:after="0" w:line="240" w:lineRule="auto"/>
        <w:rPr>
          <w:rFonts w:hint="eastAsia"/>
        </w:rPr>
      </w:pPr>
      <w:r>
        <w:separator/>
      </w:r>
    </w:p>
  </w:endnote>
  <w:endnote w:type="continuationSeparator" w:id="0">
    <w:p w14:paraId="39F679BF"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A696" w14:textId="77777777" w:rsidR="008A0BF7" w:rsidRDefault="00D00288">
    <w:pPr>
      <w:pStyle w:val="Footer"/>
      <w:pBdr>
        <w:top w:val="single" w:sz="8" w:space="4" w:color="3E2B8F"/>
      </w:pBdr>
      <w:jc w:val="center"/>
      <w:rPr>
        <w:rFonts w:hint="eastAsia"/>
      </w:rPr>
    </w:pPr>
    <w:r>
      <w:rPr>
        <w:rFonts w:eastAsia="Aptos" w:cs="Aptos"/>
        <w:color w:val="5F6B7A"/>
        <w:sz w:val="14"/>
      </w:rPr>
      <w:t xml:space="preserve">MANUDEN PRIMARY </w:t>
    </w:r>
    <w:r>
      <w:rPr>
        <w:rFonts w:eastAsia="Aptos" w:cs="Aptos"/>
        <w:color w:val="5F6B7A"/>
        <w:sz w:val="14"/>
      </w:rPr>
      <w:t>SCHOOL  |  The Street, Manuden, Bishop’s Stortford, CM23 1DE  |  01279 813370</w:t>
    </w:r>
  </w:p>
  <w:p w14:paraId="17309E23"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9AFA3" w14:textId="77777777" w:rsidR="00D00288" w:rsidRDefault="00D00288">
      <w:pPr>
        <w:spacing w:after="0" w:line="240" w:lineRule="auto"/>
        <w:rPr>
          <w:rFonts w:hint="eastAsia"/>
        </w:rPr>
      </w:pPr>
      <w:r>
        <w:separator/>
      </w:r>
    </w:p>
  </w:footnote>
  <w:footnote w:type="continuationSeparator" w:id="0">
    <w:p w14:paraId="3D463AC3" w14:textId="77777777" w:rsidR="00D00288" w:rsidRDefault="00D00288">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1648" w14:textId="77777777" w:rsidR="008A0BF7" w:rsidRDefault="00D00288">
    <w:pPr>
      <w:pStyle w:val="Header"/>
      <w:jc w:val="right"/>
      <w:rPr>
        <w:rFonts w:hint="eastAsia"/>
      </w:rPr>
    </w:pPr>
    <w:r>
      <w:rPr>
        <w:noProof/>
      </w:rPr>
      <w:drawing>
        <wp:inline distT="0" distB="0" distL="0" distR="0" wp14:anchorId="585043E7" wp14:editId="1A49EC6E">
          <wp:extent cx="411480" cy="411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e687b-efa3-5432-a701-f686e1b41e30.png"/>
                  <pic:cNvPicPr/>
                </pic:nvPicPr>
                <pic:blipFill>
                  <a:blip r:embed="rId1"/>
                  <a:stretch>
                    <a:fillRect/>
                  </a:stretch>
                </pic:blipFill>
                <pic:spPr>
                  <a:xfrm>
                    <a:off x="0" y="0"/>
                    <a:ext cx="411480" cy="411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16E9E6"/>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2604</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2026-09-10T07:37:00Z</dcterms:created>
  <dcterms:modified xsi:type="dcterms:W3CDTF">2026-09-10T07:37:00Z</dcterms:modified>
  <cp:category/>
</cp:coreProperties>
</file>