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984"/>
        <w:gridCol w:w="2520"/>
      </w:tblGrid>
      <w:tr>
        <w:trPr>
          <w:cantSplit/>
        </w:trPr>
        <w:tc>
          <w:tcPr>
            <w:tcW w:type="dxa" w:w="5083"/>
            <w:tcMar>
              <w:top w:w="20" w:type="dxa"/>
              <w:start w:w="10" w:type="dxa"/>
              <w:bottom w:w="20" w:type="dxa"/>
              <w:end w:w="10" w:type="dxa"/>
            </w:tcMar>
            <w:vAlign w:val="center"/>
          </w:tcPr>
          <w:p>
            <w:pPr>
              <w:jc w:val="left"/>
            </w:pPr>
            <w:r>
              <w:rPr>
                <w:rFonts w:ascii="Aptos Display" w:hAnsi="Aptos Display" w:eastAsia="Aptos Display" w:cs="Aptos Display"/>
                <w:b/>
                <w:color w:val="3E2B8F"/>
                <w:sz w:val="46"/>
              </w:rPr>
              <w:t>MANUDEN</w:t>
            </w:r>
            <w:r>
              <w:rPr>
                <w:rFonts w:ascii="Aptos" w:hAnsi="Aptos" w:eastAsia="Aptos" w:cs="Aptos"/>
                <w:b/>
                <w:color w:val="F3C300"/>
                <w:sz w:val="25"/>
              </w:rPr>
              <w:t xml:space="preserve">  PRIMARY SCHOOL</w:t>
            </w:r>
          </w:p>
          <w:p>
            <w:pPr>
              <w:spacing w:after="0"/>
            </w:pPr>
            <w:r>
              <w:rPr>
                <w:rFonts w:ascii="Aptos" w:hAnsi="Aptos" w:eastAsia="Aptos" w:cs="Aptos"/>
                <w:b w:val="0"/>
                <w:color w:val="25324A"/>
                <w:sz w:val="19"/>
              </w:rPr>
              <w:t>A Small School with Big Ideas</w:t>
            </w:r>
          </w:p>
        </w:tc>
        <w:tc>
          <w:tcPr>
            <w:tcW w:type="dxa" w:w="5083"/>
            <w:tcMar>
              <w:top w:w="20" w:type="dxa"/>
              <w:start w:w="10" w:type="dxa"/>
              <w:bottom w:w="20" w:type="dxa"/>
              <w:end w:w="10" w:type="dxa"/>
            </w:tcMar>
            <w:vAlign w:val="center"/>
          </w:tcPr>
          <w:p>
            <w:pPr>
              <w:jc w:val="center"/>
            </w:pPr>
            <w:r>
              <w:drawing>
                <wp:inline xmlns:a="http://schemas.openxmlformats.org/drawingml/2006/main" xmlns:pic="http://schemas.openxmlformats.org/drawingml/2006/picture">
                  <wp:extent cx="1115568" cy="1208767"/>
                  <wp:docPr id="1" name="Picture 1" descr="Manuden Primary School logo"/>
                  <wp:cNvGraphicFramePr>
                    <a:graphicFrameLocks noChangeAspect="1"/>
                  </wp:cNvGraphicFramePr>
                  <a:graphic>
                    <a:graphicData uri="http://schemas.openxmlformats.org/drawingml/2006/picture">
                      <pic:pic>
                        <pic:nvPicPr>
                          <pic:cNvPr id="0" name="manuden_logo_clean.png"/>
                          <pic:cNvPicPr/>
                        </pic:nvPicPr>
                        <pic:blipFill>
                          <a:blip r:embed="rId9"/>
                          <a:stretch>
                            <a:fillRect/>
                          </a:stretch>
                        </pic:blipFill>
                        <pic:spPr>
                          <a:xfrm>
                            <a:off x="0" y="0"/>
                            <a:ext cx="1115568" cy="1208767"/>
                          </a:xfrm>
                          <a:prstGeom prst="rect"/>
                        </pic:spPr>
                      </pic:pic>
                    </a:graphicData>
                  </a:graphic>
                </wp:inline>
              </w:drawing>
            </w:r>
          </w:p>
          <w:p>
            <w:pPr>
              <w:spacing w:after="0"/>
              <w:jc w:val="center"/>
            </w:pPr>
            <w:r>
              <w:rPr>
                <w:rFonts w:ascii="Aptos" w:hAnsi="Aptos" w:eastAsia="Aptos" w:cs="Aptos"/>
                <w:b/>
                <w:color w:val="3E2B8F"/>
                <w:sz w:val="16"/>
              </w:rPr>
              <w:t>POLICY DOCUMENT</w:t>
            </w:r>
          </w:p>
        </w:tc>
      </w:tr>
    </w:tbl>
    <w:p>
      <w:pPr>
        <w:spacing w:before="60" w:after="280"/>
        <w:pBdr>
          <w:bottom w:val="single" w:sz="24" w:space="3" w:color="F3C300"/>
        </w:pBdr>
      </w:pPr>
    </w:p>
    <w:p>
      <w:pPr>
        <w:spacing w:after="60"/>
        <w:jc w:val="center"/>
      </w:pPr>
      <w:r>
        <w:rPr>
          <w:rFonts w:ascii="Aptos" w:hAnsi="Aptos"/>
          <w:b/>
          <w:color w:val="3E2B8F"/>
          <w:sz w:val="46"/>
        </w:rPr>
        <w:t>CHARGING AND REMISSIONS POLICY</w:t>
      </w:r>
    </w:p>
    <w:p>
      <w:pPr>
        <w:spacing w:after="260"/>
        <w:jc w:val="center"/>
      </w:pPr>
      <w:r>
        <w:rPr>
          <w:rFonts w:ascii="Aptos" w:hAnsi="Aptos"/>
          <w:b/>
          <w:color w:val="25324A"/>
          <w:sz w:val="24"/>
        </w:rPr>
        <w:t>2026–27</w:t>
      </w:r>
    </w:p>
    <w:p>
      <w:pPr>
        <w:spacing w:after="240"/>
        <w:jc w:val="center"/>
      </w:pPr>
      <w:r>
        <w:rPr>
          <w:rFonts w:ascii="Aptos" w:hAnsi="Aptos" w:eastAsia="Aptos" w:cs="Aptos"/>
          <w:b w:val="0"/>
          <w:color w:val="25324A"/>
          <w:sz w:val="21"/>
        </w:rPr>
        <w:t>Growing Hearts  •  Growing Minds  •  Growing Dreams</w:t>
      </w:r>
    </w:p>
    <w:tbl>
      <w:tblPr>
        <w:tblW w:type="auto" w:w="0"/>
        <w:jc w:val="center"/>
        <w:tblLayout w:type="fixed"/>
        <w:tblLook w:firstColumn="1" w:firstRow="1" w:lastColumn="0" w:lastRow="0" w:noHBand="0" w:noVBand="1" w:val="04A0"/>
      </w:tblPr>
      <w:tblGrid>
        <w:gridCol w:w="3139"/>
        <w:gridCol w:w="3139"/>
        <w:gridCol w:w="3139"/>
      </w:tblGrid>
      <w:tr>
        <w:trPr>
          <w:cantSplit/>
        </w:trPr>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F3C300"/>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r>
    </w:tbl>
    <w:p>
      <w:pPr>
        <w:spacing w:after="100"/>
        <w:pBdr>
          <w:bottom w:val="single" w:sz="8" w:space="3" w:color="3E2B8F"/>
        </w:pBdr>
      </w:pPr>
      <w:r>
        <w:rPr>
          <w:rFonts w:ascii="Aptos" w:hAnsi="Aptos" w:eastAsia="Aptos" w:cs="Aptos"/>
          <w:b/>
          <w:color w:val="25324A"/>
          <w:sz w:val="22"/>
        </w:rPr>
        <w:t>POLICY INFORMATION</w:t>
      </w:r>
    </w:p>
    <w:tbl>
      <w:tblPr>
        <w:tblW w:type="auto" w:w="0"/>
        <w:jc w:val="center"/>
        <w:tblLayout w:type="fixed"/>
        <w:tblLook w:firstColumn="1" w:firstRow="1" w:lastColumn="0" w:lastRow="0" w:noHBand="0" w:noVBand="1" w:val="04A0"/>
      </w:tblPr>
      <w:tblGrid>
        <w:gridCol w:w="2952"/>
        <w:gridCol w:w="6408"/>
      </w:tblGrid>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owner / lead</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Governing Body; operational lead: Phil Molyneux – Headteacher</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Approved by</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Governing Body</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Approval / adoption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To be confirmed following Governing Body approval</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Next review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September 2027</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Review cycle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Annual and earlier if legislation, DfE guidance or school arrangements change</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Version</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1.0</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status</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Statutory charging and remissions policy</w:t>
            </w:r>
          </w:p>
        </w:tc>
      </w:tr>
    </w:tbl>
    <w:p>
      <w:pPr>
        <w:spacing w:before="180" w:after="60"/>
      </w:pPr>
      <w:r>
        <w:rPr>
          <w:rFonts w:ascii="Aptos" w:hAnsi="Aptos"/>
          <w:b/>
          <w:color w:val="25324A"/>
          <w:sz w:val="20"/>
        </w:rPr>
        <w:t xml:space="preserve">This policy applies to: </w:t>
      </w:r>
      <w:r>
        <w:rPr>
          <w:rFonts w:ascii="Aptos" w:hAnsi="Aptos"/>
          <w:color w:val="25324A"/>
          <w:sz w:val="20"/>
        </w:rPr>
        <w:t>registered pupils and their parents/carers, and to school activities, visits, optional extras and services for which a charge or voluntary contribution may be considered.</w:t>
      </w:r>
    </w:p>
    <w:p>
      <w:pPr>
        <w:spacing w:after="0"/>
      </w:pPr>
      <w:r>
        <w:rPr>
          <w:rFonts w:ascii="Aptos" w:hAnsi="Aptos"/>
          <w:b/>
          <w:color w:val="25324A"/>
          <w:sz w:val="20"/>
        </w:rPr>
        <w:t xml:space="preserve">Related documents: </w:t>
      </w:r>
      <w:r>
        <w:rPr>
          <w:rFonts w:ascii="Aptos" w:hAnsi="Aptos"/>
          <w:color w:val="25324A"/>
          <w:sz w:val="20"/>
        </w:rPr>
        <w:t>Educational Visits procedures; Equality Policy; SEND Policy; Pupil Premium Strategy; school financial procedures; lettings/extended-services arrangements where applicable.</w:t>
      </w:r>
    </w:p>
    <w:p>
      <w:r>
        <w:rPr>
          <w:rFonts w:ascii="Aptos" w:hAnsi="Aptos"/>
        </w:rPr>
        <w:br w:type="page"/>
      </w:r>
    </w:p>
    <w:p>
      <w:pPr>
        <w:pStyle w:val="Heading1"/>
      </w:pPr>
      <w:r>
        <w:rPr>
          <w:rFonts w:ascii="Aptos" w:hAnsi="Aptos"/>
        </w:rPr>
        <w:t>1. Purpose</w:t>
      </w:r>
    </w:p>
    <w:p>
      <w:pPr/>
      <w:r>
        <w:rPr>
          <w:rFonts w:ascii="Aptos" w:hAnsi="Aptos"/>
        </w:rPr>
        <w:t>Manuden Primary School is committed to providing a broad, balanced and enriching education while ensuring that no pupil is disadvantaged because their family is unable or unwilling to pay for an activity for which education must be provided free of charge.</w:t>
      </w:r>
    </w:p>
    <w:p>
      <w:pPr/>
      <w:r>
        <w:rPr>
          <w:rFonts w:ascii="Aptos" w:hAnsi="Aptos"/>
        </w:rPr>
        <w:t>This policy explains when the school may make a charge, when it may ask for a voluntary contribution, and the circumstances in which a charge may be reduced or waived. It is intended to ensure that charging decisions are lawful, transparent, fair and sensitive to families’ circumstances.</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FF8D9"/>
            <w:tcMar>
              <w:top w:w="120" w:type="dxa"/>
              <w:start w:w="140" w:type="dxa"/>
              <w:bottom w:w="120" w:type="dxa"/>
              <w:end w:w="140" w:type="dxa"/>
            </w:tcMar>
          </w:tcPr>
          <w:p>
            <w:r>
              <w:rPr>
                <w:rFonts w:ascii="Aptos" w:hAnsi="Aptos"/>
                <w:b/>
                <w:color w:val="3E2B8F"/>
                <w:sz w:val="22"/>
              </w:rPr>
              <w:t>Core principle</w:t>
              <w:br/>
            </w:r>
            <w:r>
              <w:rPr>
                <w:rFonts w:ascii="Aptos" w:hAnsi="Aptos"/>
                <w:color w:val="25324A"/>
                <w:sz w:val="21"/>
              </w:rPr>
              <w:t>Education provided during school hours is free, subject only to the limited exceptions permitted by law. Requests for voluntary contributions must be genuinely voluntary. A pupil will not be excluded from a curriculum activity because their parent or carer is unable or unwilling to make a voluntary contribution.</w:t>
            </w:r>
          </w:p>
        </w:tc>
      </w:tr>
    </w:tbl>
    <w:p>
      <w:pPr>
        <w:spacing w:after="0"/>
      </w:pPr>
    </w:p>
    <w:p>
      <w:pPr>
        <w:pStyle w:val="Heading1"/>
      </w:pPr>
      <w:r>
        <w:rPr>
          <w:rFonts w:ascii="Aptos" w:hAnsi="Aptos"/>
        </w:rPr>
        <w:t>2. Legal Framework</w:t>
      </w:r>
    </w:p>
    <w:p>
      <w:pPr/>
      <w:r>
        <w:rPr>
          <w:rFonts w:ascii="Aptos" w:hAnsi="Aptos"/>
        </w:rPr>
        <w:t>This policy is determined by the Governing Body in accordance with sections 449 to 462 of the Education Act 1996 and has regard to current Department for Education (DfE) guidance on charging for school activities and the publication requirements for maintained schools.</w:t>
      </w:r>
    </w:p>
    <w:p>
      <w:pPr/>
      <w:r>
        <w:rPr>
          <w:rFonts w:ascii="Aptos" w:hAnsi="Aptos"/>
        </w:rPr>
        <w:t>The Governing Body will keep the policy under review. No charge will be made unless it is permitted by law and falls within this policy.</w:t>
      </w:r>
    </w:p>
    <w:p>
      <w:pPr>
        <w:pStyle w:val="Heading1"/>
      </w:pPr>
      <w:r>
        <w:rPr>
          <w:rFonts w:ascii="Aptos" w:hAnsi="Aptos"/>
        </w:rPr>
        <w:t>3. Responsibilities</w:t>
      </w:r>
    </w:p>
    <w:p>
      <w:pPr>
        <w:pStyle w:val="Heading2"/>
      </w:pPr>
      <w:r>
        <w:rPr>
          <w:rFonts w:ascii="Aptos" w:hAnsi="Aptos"/>
        </w:rPr>
        <w:t>Governing Body</w:t>
      </w:r>
    </w:p>
    <w:p>
      <w:pPr>
        <w:pStyle w:val="ListBullet"/>
      </w:pPr>
      <w:r>
        <w:rPr>
          <w:rFonts w:ascii="Aptos" w:hAnsi="Aptos"/>
        </w:rPr>
        <w:t>determines and reviews the school’s charging and remissions policy;</w:t>
      </w:r>
    </w:p>
    <w:p>
      <w:pPr>
        <w:pStyle w:val="ListBullet"/>
      </w:pPr>
      <w:r>
        <w:rPr>
          <w:rFonts w:ascii="Aptos" w:hAnsi="Aptos"/>
        </w:rPr>
        <w:t>ensures that charges are lawful and do not exceed permitted costs;</w:t>
      </w:r>
    </w:p>
    <w:p>
      <w:pPr>
        <w:pStyle w:val="ListBullet"/>
      </w:pPr>
      <w:r>
        <w:rPr>
          <w:rFonts w:ascii="Aptos" w:hAnsi="Aptos"/>
        </w:rPr>
        <w:t>ensures that remission arrangements are fair and transparent;</w:t>
      </w:r>
    </w:p>
    <w:p>
      <w:pPr>
        <w:pStyle w:val="ListBullet"/>
      </w:pPr>
      <w:r>
        <w:rPr>
          <w:rFonts w:ascii="Aptos" w:hAnsi="Aptos"/>
        </w:rPr>
        <w:t>provides strategic oversight of the policy.</w:t>
      </w:r>
    </w:p>
    <w:p>
      <w:pPr>
        <w:pStyle w:val="Heading2"/>
      </w:pPr>
      <w:r>
        <w:rPr>
          <w:rFonts w:ascii="Aptos" w:hAnsi="Aptos"/>
        </w:rPr>
        <w:t>Headteacher and School Business Manager</w:t>
      </w:r>
    </w:p>
    <w:p>
      <w:pPr>
        <w:pStyle w:val="ListBullet"/>
      </w:pPr>
      <w:r>
        <w:rPr>
          <w:rFonts w:ascii="Aptos" w:hAnsi="Aptos"/>
        </w:rPr>
        <w:t>apply this policy to day-to-day decisions and communications with families;</w:t>
      </w:r>
    </w:p>
    <w:p>
      <w:pPr>
        <w:pStyle w:val="ListBullet"/>
      </w:pPr>
      <w:r>
        <w:rPr>
          <w:rFonts w:ascii="Aptos" w:hAnsi="Aptos"/>
        </w:rPr>
        <w:t>ensure that requests for voluntary contributions are clearly described as voluntary;</w:t>
      </w:r>
    </w:p>
    <w:p>
      <w:pPr>
        <w:pStyle w:val="ListBullet"/>
      </w:pPr>
      <w:r>
        <w:rPr>
          <w:rFonts w:ascii="Aptos" w:hAnsi="Aptos"/>
        </w:rPr>
        <w:t>consider requests for discretionary remission or financial support sensitively and confidentially;</w:t>
      </w:r>
    </w:p>
    <w:p>
      <w:pPr>
        <w:pStyle w:val="ListBullet"/>
      </w:pPr>
      <w:r>
        <w:rPr>
          <w:rFonts w:ascii="Aptos" w:hAnsi="Aptos"/>
        </w:rPr>
        <w:t>ensure that charges, where made, are properly calculated and recorded;</w:t>
      </w:r>
    </w:p>
    <w:p>
      <w:pPr>
        <w:pStyle w:val="ListBullet"/>
      </w:pPr>
      <w:r>
        <w:rPr>
          <w:rFonts w:ascii="Aptos" w:hAnsi="Aptos"/>
        </w:rPr>
        <w:t>seek advice from Essex County Council or other appropriate sources where the legal position is unclear.</w:t>
      </w:r>
    </w:p>
    <w:p>
      <w:pPr>
        <w:pStyle w:val="Heading1"/>
      </w:pPr>
      <w:r>
        <w:rPr>
          <w:rFonts w:ascii="Aptos" w:hAnsi="Aptos"/>
        </w:rPr>
        <w:t>4. Education for Which No Charge Will Be Made</w:t>
      </w:r>
    </w:p>
    <w:p>
      <w:pPr/>
      <w:r>
        <w:rPr>
          <w:rFonts w:ascii="Aptos" w:hAnsi="Aptos"/>
        </w:rPr>
        <w:t>The school will not charge parents or carers for:</w:t>
      </w:r>
    </w:p>
    <w:p>
      <w:pPr>
        <w:pStyle w:val="ListBullet"/>
      </w:pPr>
      <w:r>
        <w:rPr>
          <w:rFonts w:ascii="Aptos" w:hAnsi="Aptos"/>
        </w:rPr>
        <w:t>admission to the school;</w:t>
      </w:r>
    </w:p>
    <w:p>
      <w:pPr>
        <w:pStyle w:val="ListBullet"/>
      </w:pPr>
      <w:r>
        <w:rPr>
          <w:rFonts w:ascii="Aptos" w:hAnsi="Aptos"/>
        </w:rPr>
        <w:t>education provided during school hours, including teaching and the supply of materials, books, instruments or other equipment needed for that education;</w:t>
      </w:r>
    </w:p>
    <w:p>
      <w:pPr>
        <w:pStyle w:val="ListBullet"/>
      </w:pPr>
      <w:r>
        <w:rPr>
          <w:rFonts w:ascii="Aptos" w:hAnsi="Aptos"/>
        </w:rPr>
        <w:t>education provided outside school hours where it is part of the National Curriculum, part of religious education, or required as part of a prescribed public examination syllabus for which the pupil is being prepared at the school;</w:t>
      </w:r>
    </w:p>
    <w:p>
      <w:pPr>
        <w:pStyle w:val="ListBullet"/>
      </w:pPr>
      <w:r>
        <w:rPr>
          <w:rFonts w:ascii="Aptos" w:hAnsi="Aptos"/>
        </w:rPr>
        <w:t>entry for a prescribed public examination where the pupil has been prepared for that examination at the school;</w:t>
      </w:r>
    </w:p>
    <w:p>
      <w:pPr>
        <w:pStyle w:val="ListBullet"/>
      </w:pPr>
      <w:r>
        <w:rPr>
          <w:rFonts w:ascii="Aptos" w:hAnsi="Aptos"/>
        </w:rPr>
        <w:t>transport that the local authority or school is required to provide, including transport provided in connection with an educational visit where charging is prohibited by law;</w:t>
      </w:r>
    </w:p>
    <w:p>
      <w:pPr>
        <w:pStyle w:val="ListBullet"/>
      </w:pPr>
      <w:r>
        <w:rPr>
          <w:rFonts w:ascii="Aptos" w:hAnsi="Aptos"/>
        </w:rPr>
        <w:t>supply-teacher cover for teachers who accompany pupils on a residential visit where the education itself may not lawfully be charged for.</w:t>
      </w:r>
    </w:p>
    <w:p>
      <w:pPr/>
      <w:r>
        <w:rPr>
          <w:rFonts w:ascii="Aptos" w:hAnsi="Aptos"/>
        </w:rPr>
        <w:t>Where ingredients or materials are needed for curriculum learning, the school will provide what is necessary. A charge may only be made where a parent has indicated in advance that they wish their child to own or take home the finished product, as set out in section 8.</w:t>
      </w:r>
    </w:p>
    <w:p>
      <w:pPr>
        <w:pStyle w:val="Heading1"/>
      </w:pPr>
      <w:r>
        <w:rPr>
          <w:rFonts w:ascii="Aptos" w:hAnsi="Aptos"/>
        </w:rPr>
        <w:t>5. Voluntary Contributions</w:t>
      </w:r>
    </w:p>
    <w:p>
      <w:pPr/>
      <w:r>
        <w:rPr>
          <w:rFonts w:ascii="Aptos" w:hAnsi="Aptos"/>
        </w:rPr>
        <w:t>The school may ask parents, carers or others for voluntary contributions towards the cost of activities, visits, equipment or school funds. This can help the school provide opportunities that might otherwise be unaffordable within the delegated budget.</w:t>
      </w:r>
    </w:p>
    <w:p>
      <w:pPr/>
      <w:r>
        <w:rPr>
          <w:rFonts w:ascii="Aptos" w:hAnsi="Aptos"/>
        </w:rPr>
        <w:t>Whenever a voluntary contribution is requested, the school will make clear that:</w:t>
      </w:r>
    </w:p>
    <w:p>
      <w:pPr>
        <w:pStyle w:val="ListBullet"/>
      </w:pPr>
      <w:r>
        <w:rPr>
          <w:rFonts w:ascii="Aptos" w:hAnsi="Aptos"/>
        </w:rPr>
        <w:t>there is no obligation to contribute;</w:t>
      </w:r>
    </w:p>
    <w:p>
      <w:pPr>
        <w:pStyle w:val="ListBullet"/>
      </w:pPr>
      <w:r>
        <w:rPr>
          <w:rFonts w:ascii="Aptos" w:hAnsi="Aptos"/>
        </w:rPr>
        <w:t>a pupil will not be treated differently because their parent or carer has not contributed;</w:t>
      </w:r>
    </w:p>
    <w:p>
      <w:pPr>
        <w:pStyle w:val="ListBullet"/>
      </w:pPr>
      <w:r>
        <w:rPr>
          <w:rFonts w:ascii="Aptos" w:hAnsi="Aptos"/>
        </w:rPr>
        <w:t>a pupil will not be excluded from a curriculum activity because their parent or carer is unable or unwilling to contribute;</w:t>
      </w:r>
    </w:p>
    <w:p>
      <w:pPr>
        <w:pStyle w:val="ListBullet"/>
      </w:pPr>
      <w:r>
        <w:rPr>
          <w:rFonts w:ascii="Aptos" w:hAnsi="Aptos"/>
        </w:rPr>
        <w:t>where an activity depends on voluntary contributions and insufficient funding is received, the activity may have to be cancelled;</w:t>
      </w:r>
    </w:p>
    <w:p>
      <w:pPr>
        <w:pStyle w:val="ListBullet"/>
      </w:pPr>
      <w:r>
        <w:rPr>
          <w:rFonts w:ascii="Aptos" w:hAnsi="Aptos"/>
        </w:rPr>
        <w:t>families who may need support are encouraged to contact the school in confidence.</w:t>
      </w:r>
    </w:p>
    <w:p>
      <w:pPr/>
      <w:r>
        <w:rPr>
          <w:rFonts w:ascii="Aptos" w:hAnsi="Aptos"/>
        </w:rPr>
        <w:t>The school will not use wording or payment-chasing practices that create undue pressure or imply that a voluntary contribution is compulsory.</w:t>
      </w:r>
    </w:p>
    <w:p>
      <w:pPr>
        <w:pStyle w:val="Heading1"/>
      </w:pPr>
      <w:r>
        <w:rPr>
          <w:rFonts w:ascii="Aptos" w:hAnsi="Aptos"/>
        </w:rPr>
        <w:t>6. Activities and Visits During School Hours</w:t>
      </w:r>
    </w:p>
    <w:p>
      <w:pPr/>
      <w:r>
        <w:rPr>
          <w:rFonts w:ascii="Aptos" w:hAnsi="Aptos"/>
        </w:rPr>
        <w:t>Where a visit or activity takes place during school hours and forms part of the education provided by the school, the school will not make a compulsory charge for the education, necessary materials or transport for which charging is prohibited.</w:t>
      </w:r>
    </w:p>
    <w:p>
      <w:pPr/>
      <w:r>
        <w:rPr>
          <w:rFonts w:ascii="Aptos" w:hAnsi="Aptos"/>
        </w:rPr>
        <w:t>The school may request a voluntary contribution towards the cost of such an activity. If insufficient voluntary contributions are received and the school cannot meet the shortfall from another lawful source, the visit or activity may be cancelled. Parents and carers will be told this at the outset where relevant.</w:t>
      </w:r>
    </w:p>
    <w:p>
      <w:pPr>
        <w:pStyle w:val="Heading1"/>
      </w:pPr>
      <w:r>
        <w:rPr>
          <w:rFonts w:ascii="Aptos" w:hAnsi="Aptos"/>
        </w:rPr>
        <w:t>7. Optional Extras</w:t>
      </w:r>
    </w:p>
    <w:p>
      <w:pPr/>
      <w:r>
        <w:rPr>
          <w:rFonts w:ascii="Aptos" w:hAnsi="Aptos"/>
        </w:rPr>
        <w:t>The school may make a charge for an activity that is an “optional extra” permitted by law. Participation in an optional extra is voluntary and parental agreement to the charge is required before the activity is provided.</w:t>
      </w:r>
    </w:p>
    <w:p>
      <w:pPr/>
      <w:r>
        <w:rPr>
          <w:rFonts w:ascii="Aptos" w:hAnsi="Aptos"/>
        </w:rPr>
        <w:t>Optional extras may include:</w:t>
      </w:r>
    </w:p>
    <w:p>
      <w:pPr>
        <w:pStyle w:val="ListBullet"/>
      </w:pPr>
      <w:r>
        <w:rPr>
          <w:rFonts w:ascii="Aptos" w:hAnsi="Aptos"/>
        </w:rPr>
        <w:t>education provided outside school hours that is not part of the National Curriculum, religious education or a prescribed examination syllabus for which the pupil is being prepared at school;</w:t>
      </w:r>
    </w:p>
    <w:p>
      <w:pPr>
        <w:pStyle w:val="ListBullet"/>
      </w:pPr>
      <w:r>
        <w:rPr>
          <w:rFonts w:ascii="Aptos" w:hAnsi="Aptos"/>
        </w:rPr>
        <w:t>certain examination fees where the pupil has not been prepared for the examination at school;</w:t>
      </w:r>
    </w:p>
    <w:p>
      <w:pPr>
        <w:pStyle w:val="ListBullet"/>
      </w:pPr>
      <w:r>
        <w:rPr>
          <w:rFonts w:ascii="Aptos" w:hAnsi="Aptos"/>
        </w:rPr>
        <w:t>transport that the school is not legally required to provide;</w:t>
      </w:r>
    </w:p>
    <w:p>
      <w:pPr>
        <w:pStyle w:val="ListBullet"/>
      </w:pPr>
      <w:r>
        <w:rPr>
          <w:rFonts w:ascii="Aptos" w:hAnsi="Aptos"/>
        </w:rPr>
        <w:t>board and lodging on a residential visit;</w:t>
      </w:r>
    </w:p>
    <w:p>
      <w:pPr>
        <w:pStyle w:val="ListBullet"/>
      </w:pPr>
      <w:r>
        <w:rPr>
          <w:rFonts w:ascii="Aptos" w:hAnsi="Aptos"/>
        </w:rPr>
        <w:t>extended-day services such as breakfast provision, after-school clubs, holiday activities or supervised care where these are optional;</w:t>
      </w:r>
    </w:p>
    <w:p>
      <w:pPr>
        <w:pStyle w:val="ListBullet"/>
      </w:pPr>
      <w:r>
        <w:rPr>
          <w:rFonts w:ascii="Aptos" w:hAnsi="Aptos"/>
        </w:rPr>
        <w:t>other optional activities permitted by law.</w:t>
      </w:r>
    </w:p>
    <w:p>
      <w:pPr/>
      <w:r>
        <w:rPr>
          <w:rFonts w:ascii="Aptos" w:hAnsi="Aptos"/>
        </w:rPr>
        <w:t>Any charge for an optional extra will not exceed the actual cost attributable to providing the activity to participating pupils. The school will not seek to make a profit from an optional extra. Costs of non-participating pupils will not be added to the charges of those taking part.</w:t>
      </w:r>
    </w:p>
    <w:p>
      <w:pPr/>
      <w:r>
        <w:rPr>
          <w:rFonts w:ascii="Aptos" w:hAnsi="Aptos"/>
        </w:rPr>
        <w:t>Where an after-school club or other optional activity is delivered by an external provider that contracts directly with families, the provider may charge parents directly. The school will make clear where the contractual and payment relationship is with the external provider rather than the school.</w:t>
      </w:r>
    </w:p>
    <w:p>
      <w:pPr>
        <w:pStyle w:val="Heading1"/>
      </w:pPr>
      <w:r>
        <w:rPr>
          <w:rFonts w:ascii="Aptos" w:hAnsi="Aptos"/>
        </w:rPr>
        <w:t>8. Materials, Ingredients, Books and Equipment</w:t>
      </w:r>
    </w:p>
    <w:p>
      <w:pPr/>
      <w:r>
        <w:rPr>
          <w:rFonts w:ascii="Aptos" w:hAnsi="Aptos"/>
        </w:rPr>
        <w:t>The school will not charge for materials, books, instruments or equipment needed for education provided during school hours.</w:t>
      </w:r>
    </w:p>
    <w:p>
      <w:pPr/>
      <w:r>
        <w:rPr>
          <w:rFonts w:ascii="Aptos" w:hAnsi="Aptos"/>
        </w:rPr>
        <w:t>A charge may be made for materials or ingredients where a parent or carer has indicated in advance that they wish their child to own the finished product or take it home. For example, this may apply to ingredients for a cooking activity or materials for a craft or design project where the finished item is intended to become the pupil’s property.</w:t>
      </w:r>
    </w:p>
    <w:p>
      <w:pPr/>
      <w:r>
        <w:rPr>
          <w:rFonts w:ascii="Aptos" w:hAnsi="Aptos"/>
        </w:rPr>
        <w:t>Where the parent does not wish to own the finished product, the pupil will not be excluded from the curriculum learning because payment has not been made.</w:t>
      </w:r>
    </w:p>
    <w:p>
      <w:pPr>
        <w:pStyle w:val="Heading1"/>
      </w:pPr>
      <w:r>
        <w:rPr>
          <w:rFonts w:ascii="Aptos" w:hAnsi="Aptos"/>
        </w:rPr>
        <w:t>9. Music Tuition</w:t>
      </w:r>
    </w:p>
    <w:p>
      <w:pPr/>
      <w:r>
        <w:rPr>
          <w:rFonts w:ascii="Aptos" w:hAnsi="Aptos"/>
        </w:rPr>
        <w:t>Charges may be made for individual or group instrumental or vocal tuition where this is provided at the request of a pupil’s parent or carer and charging is permitted by the Charges for Music Tuition (England) Regulations 2007.</w:t>
      </w:r>
    </w:p>
    <w:p>
      <w:pPr/>
      <w:r>
        <w:rPr>
          <w:rFonts w:ascii="Aptos" w:hAnsi="Aptos"/>
        </w:rPr>
        <w:t>No charge will be made where the tuition is an essential part of the National Curriculum, is provided under a programme for which the regulations prohibit charging, or where the law otherwise requires tuition to be free. No charge will be made for a looked-after child where the regulations provide an exemption.</w:t>
      </w:r>
    </w:p>
    <w:p>
      <w:pPr/>
      <w:r>
        <w:rPr>
          <w:rFonts w:ascii="Aptos" w:hAnsi="Aptos"/>
        </w:rPr>
        <w:t>Any charge will not exceed the cost of providing the tuition.</w:t>
      </w:r>
    </w:p>
    <w:p>
      <w:pPr>
        <w:pStyle w:val="Heading1"/>
      </w:pPr>
      <w:r>
        <w:rPr>
          <w:rFonts w:ascii="Aptos" w:hAnsi="Aptos"/>
        </w:rPr>
        <w:t>10. Residential Visits</w:t>
      </w:r>
    </w:p>
    <w:p>
      <w:pPr/>
      <w:r>
        <w:rPr>
          <w:rFonts w:ascii="Aptos" w:hAnsi="Aptos"/>
        </w:rPr>
        <w:t>The school will not charge for education provided on a residential visit where that education must be provided free of charge. Where the visit is educational and charging for travel is prohibited, no compulsory charge will be made for that travel.</w:t>
      </w:r>
    </w:p>
    <w:p>
      <w:pPr/>
      <w:r>
        <w:rPr>
          <w:rFonts w:ascii="Aptos" w:hAnsi="Aptos"/>
        </w:rPr>
        <w:t>The school may charge for board and lodging on a residential visit, but the charge will not exceed the actual cost.</w:t>
      </w:r>
    </w:p>
    <w:p>
      <w:pPr/>
      <w:r>
        <w:rPr>
          <w:rFonts w:ascii="Aptos" w:hAnsi="Aptos"/>
        </w:rPr>
        <w:t>Where the statutory conditions for remission are met, the school will provide complete remission of board and lodging charges. Parents and carers will be informed of this right and invited to contact the school confidentially. Eligibility will be assessed against the benefits and criteria prescribed by law and current DfE guidance at the time of the visit.</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2F3F5"/>
            <w:tcMar>
              <w:top w:w="120" w:type="dxa"/>
              <w:start w:w="140" w:type="dxa"/>
              <w:bottom w:w="120" w:type="dxa"/>
              <w:end w:w="140" w:type="dxa"/>
            </w:tcMar>
          </w:tcPr>
          <w:p>
            <w:r>
              <w:rPr>
                <w:rFonts w:ascii="Aptos" w:hAnsi="Aptos"/>
                <w:b/>
                <w:color w:val="25324A"/>
                <w:sz w:val="22"/>
              </w:rPr>
              <w:t>Important</w:t>
              <w:br/>
            </w:r>
            <w:r>
              <w:rPr>
                <w:rFonts w:ascii="Aptos" w:hAnsi="Aptos"/>
                <w:color w:val="25324A"/>
                <w:sz w:val="21"/>
              </w:rPr>
              <w:t>Eligibility rules can change. The school will use the current statutory/DfE criteria at the time a residential visit is organised rather than relying on an outdated list of benefits printed in this policy.</w:t>
            </w:r>
          </w:p>
        </w:tc>
      </w:tr>
    </w:tbl>
    <w:p>
      <w:pPr>
        <w:spacing w:after="0"/>
      </w:pPr>
    </w:p>
    <w:p>
      <w:pPr>
        <w:pStyle w:val="Heading1"/>
      </w:pPr>
      <w:r>
        <w:rPr>
          <w:rFonts w:ascii="Aptos" w:hAnsi="Aptos"/>
        </w:rPr>
        <w:t>11. Activities Partly During School Hours</w:t>
      </w:r>
    </w:p>
    <w:p>
      <w:pPr/>
      <w:r>
        <w:rPr>
          <w:rFonts w:ascii="Aptos" w:hAnsi="Aptos"/>
        </w:rPr>
        <w:t>Where an activity takes place partly during and partly outside school hours, the school will apply the statutory rules to determine whether it is treated as taking place in or outside school hours. Under current DfE guidance, where 50% or more of the time spent on the activity occurs during school hours, it is treated as taking place during school hours. Travel time occurring during school hours is included in that calculation.</w:t>
      </w:r>
    </w:p>
    <w:p>
      <w:pPr/>
      <w:r>
        <w:rPr>
          <w:rFonts w:ascii="Aptos" w:hAnsi="Aptos"/>
        </w:rPr>
        <w:t>The school will take advice where necessary before making a compulsory charge for an activity that spans school and non-school time.</w:t>
      </w:r>
    </w:p>
    <w:p>
      <w:pPr>
        <w:pStyle w:val="Heading1"/>
      </w:pPr>
      <w:r>
        <w:rPr>
          <w:rFonts w:ascii="Aptos" w:hAnsi="Aptos"/>
        </w:rPr>
        <w:t>12. School Meals</w:t>
      </w:r>
    </w:p>
    <w:p>
      <w:pPr/>
      <w:r>
        <w:rPr>
          <w:rFonts w:ascii="Aptos" w:hAnsi="Aptos"/>
        </w:rPr>
        <w:t>The school may charge for school meals at the published rate where a pupil is not entitled to a free meal under current national arrangements. Pupils entitled to free school meals, including any applicable universal or benefits-based entitlement, will receive meals in accordance with current law and funding arrangements.</w:t>
      </w:r>
    </w:p>
    <w:p>
      <w:pPr>
        <w:pStyle w:val="Heading1"/>
      </w:pPr>
      <w:r>
        <w:rPr>
          <w:rFonts w:ascii="Aptos" w:hAnsi="Aptos"/>
        </w:rPr>
        <w:t>13. Early Years and Extended Provision</w:t>
      </w:r>
    </w:p>
    <w:p>
      <w:pPr/>
      <w:r>
        <w:rPr>
          <w:rFonts w:ascii="Aptos" w:hAnsi="Aptos"/>
        </w:rPr>
        <w:t>Where the school provides early years, wraparound or extended provision, charges may be made for additional hours, services or optional extras where permitted by current legislation and funding guidance. Funded early education entitlements will not be made conditional on parents purchasing additional hours, meals, consumables or other optional services where this would be contrary to the applicable funding conditions.</w:t>
      </w:r>
    </w:p>
    <w:p>
      <w:pPr/>
      <w:r>
        <w:rPr>
          <w:rFonts w:ascii="Aptos" w:hAnsi="Aptos"/>
        </w:rPr>
        <w:t>Any specific fees for nursery, breakfast club, after-school care or other extended provision will be communicated separately and reviewed as necessary.</w:t>
      </w:r>
    </w:p>
    <w:p>
      <w:pPr>
        <w:pStyle w:val="Heading1"/>
      </w:pPr>
      <w:r>
        <w:rPr>
          <w:rFonts w:ascii="Aptos" w:hAnsi="Aptos"/>
        </w:rPr>
        <w:t>14. Loss of or Damage to School Property</w:t>
      </w:r>
    </w:p>
    <w:p>
      <w:pPr/>
      <w:r>
        <w:rPr>
          <w:rFonts w:ascii="Aptos" w:hAnsi="Aptos"/>
        </w:rPr>
        <w:t>There is nothing in the charging legislation that prevents the school from seeking reasonable reimbursement for loss of, or damage to, school property arising from a pupil’s wilful or negligent behaviour.</w:t>
      </w:r>
    </w:p>
    <w:p>
      <w:pPr/>
      <w:r>
        <w:rPr>
          <w:rFonts w:ascii="Aptos" w:hAnsi="Aptos"/>
        </w:rPr>
        <w:t>Any request for payment will be considered proportionately and on the facts of the individual case, including the pupil’s age, circumstances, SEND or disability where relevant, the nature of the incident and the family’s circumstances. The school will not use financial recovery as an automatic behaviour sanction.</w:t>
      </w:r>
    </w:p>
    <w:p>
      <w:pPr>
        <w:pStyle w:val="Heading1"/>
      </w:pPr>
      <w:r>
        <w:rPr>
          <w:rFonts w:ascii="Aptos" w:hAnsi="Aptos"/>
        </w:rPr>
        <w:t>15. Remissions and Financial Hardship</w:t>
      </w:r>
    </w:p>
    <w:p>
      <w:pPr/>
      <w:r>
        <w:rPr>
          <w:rFonts w:ascii="Aptos" w:hAnsi="Aptos"/>
        </w:rPr>
        <w:t>Manuden Primary School is committed to ensuring that financial hardship does not create avoidable barriers to pupils’ participation in school life.</w:t>
      </w:r>
    </w:p>
    <w:p>
      <w:pPr>
        <w:pStyle w:val="Heading2"/>
      </w:pPr>
      <w:r>
        <w:rPr>
          <w:rFonts w:ascii="Aptos" w:hAnsi="Aptos"/>
        </w:rPr>
        <w:t>Statutory remission</w:t>
      </w:r>
    </w:p>
    <w:p>
      <w:pPr/>
      <w:r>
        <w:rPr>
          <w:rFonts w:ascii="Aptos" w:hAnsi="Aptos"/>
        </w:rPr>
        <w:t>Where the law requires a charge to be remitted, including qualifying board and lodging charges on certain residential visits, the school will provide the full statutory remission.</w:t>
      </w:r>
    </w:p>
    <w:p>
      <w:pPr>
        <w:pStyle w:val="Heading2"/>
      </w:pPr>
      <w:r>
        <w:rPr>
          <w:rFonts w:ascii="Aptos" w:hAnsi="Aptos"/>
        </w:rPr>
        <w:t>Discretionary remission and support</w:t>
      </w:r>
    </w:p>
    <w:p>
      <w:pPr/>
      <w:r>
        <w:rPr>
          <w:rFonts w:ascii="Aptos" w:hAnsi="Aptos"/>
        </w:rPr>
        <w:t>In addition, the Headteacher may approve full or partial remission, subsidy, a payment plan or other reasonable support where a charge is lawful but a family would otherwise experience financial hardship. Decisions will take account of available school funds and the circumstances of the case.</w:t>
      </w:r>
    </w:p>
    <w:p>
      <w:pPr/>
      <w:r>
        <w:rPr>
          <w:rFonts w:ascii="Aptos" w:hAnsi="Aptos"/>
        </w:rPr>
        <w:t>Factors that may be considered include:</w:t>
      </w:r>
    </w:p>
    <w:p>
      <w:pPr>
        <w:pStyle w:val="ListBullet"/>
      </w:pPr>
      <w:r>
        <w:rPr>
          <w:rFonts w:ascii="Aptos" w:hAnsi="Aptos"/>
        </w:rPr>
        <w:t>eligibility for means-tested or benefits-based support, including targeted free school meals or pupil premium-related disadvantage indicators where relevant;</w:t>
      </w:r>
    </w:p>
    <w:p>
      <w:pPr>
        <w:pStyle w:val="ListBullet"/>
      </w:pPr>
      <w:r>
        <w:rPr>
          <w:rFonts w:ascii="Aptos" w:hAnsi="Aptos"/>
        </w:rPr>
        <w:t>significant changes in family circumstances;</w:t>
      </w:r>
    </w:p>
    <w:p>
      <w:pPr>
        <w:pStyle w:val="ListBullet"/>
      </w:pPr>
      <w:r>
        <w:rPr>
          <w:rFonts w:ascii="Aptos" w:hAnsi="Aptos"/>
        </w:rPr>
        <w:t>exceptional financial hardship;</w:t>
      </w:r>
    </w:p>
    <w:p>
      <w:pPr>
        <w:pStyle w:val="ListBullet"/>
      </w:pPr>
      <w:r>
        <w:rPr>
          <w:rFonts w:ascii="Aptos" w:hAnsi="Aptos"/>
        </w:rPr>
        <w:t>the educational or pastoral importance of the activity to the pupil;</w:t>
      </w:r>
    </w:p>
    <w:p>
      <w:pPr>
        <w:pStyle w:val="ListBullet"/>
      </w:pPr>
      <w:r>
        <w:rPr>
          <w:rFonts w:ascii="Aptos" w:hAnsi="Aptos"/>
        </w:rPr>
        <w:t>whether external funding, grants or charitable support may be available.</w:t>
      </w:r>
    </w:p>
    <w:p>
      <w:pPr/>
      <w:r>
        <w:rPr>
          <w:rFonts w:ascii="Aptos" w:hAnsi="Aptos"/>
        </w:rPr>
        <w:t>Families do not need to discuss financial difficulty with the class teacher. Requests for support can be made confidentially to the Headteacher or School Business Manager. Information will be handled sensitively and shared only where necessary.</w:t>
      </w:r>
    </w:p>
    <w:p>
      <w:pPr/>
      <w:r>
        <w:rPr>
          <w:rFonts w:ascii="Aptos" w:hAnsi="Aptos"/>
        </w:rPr>
        <w:t>Discretionary support is subject to available resources and does not create an entitlement to remission in every case.</w:t>
      </w:r>
    </w:p>
    <w:p>
      <w:pPr>
        <w:pStyle w:val="Heading1"/>
      </w:pPr>
      <w:r>
        <w:rPr>
          <w:rFonts w:ascii="Aptos" w:hAnsi="Aptos"/>
        </w:rPr>
        <w:t>16. Equality, SEND and Inclusion</w:t>
      </w:r>
    </w:p>
    <w:p>
      <w:pPr/>
      <w:r>
        <w:rPr>
          <w:rFonts w:ascii="Aptos" w:hAnsi="Aptos"/>
        </w:rPr>
        <w:t>Charging and remission decisions will be made fairly and in accordance with the Equality Act 2010 and the school’s SEND and equality duties. The school will not discriminate against a pupil because of disability, SEND, protected characteristics, family circumstances or inability to make a voluntary contribution.</w:t>
      </w:r>
    </w:p>
    <w:p>
      <w:pPr/>
      <w:r>
        <w:rPr>
          <w:rFonts w:ascii="Aptos" w:hAnsi="Aptos"/>
        </w:rPr>
        <w:t>Reasonable adjustments will be considered where a pupil with a disability would otherwise be placed at a substantial disadvantage in accessing an activity or service.</w:t>
      </w:r>
    </w:p>
    <w:p>
      <w:pPr>
        <w:pStyle w:val="Heading1"/>
      </w:pPr>
      <w:r>
        <w:rPr>
          <w:rFonts w:ascii="Aptos" w:hAnsi="Aptos"/>
        </w:rPr>
        <w:t>17. Communication, Complaints and Review</w:t>
      </w:r>
    </w:p>
    <w:p>
      <w:pPr/>
      <w:r>
        <w:rPr>
          <w:rFonts w:ascii="Aptos" w:hAnsi="Aptos"/>
        </w:rPr>
        <w:t>Where a charge is made or a voluntary contribution is requested, parents and carers will receive clear information explaining the nature of the payment, whether it is compulsory or voluntary, what it covers and any relevant remission/support arrangements.</w:t>
      </w:r>
    </w:p>
    <w:p>
      <w:pPr/>
      <w:r>
        <w:rPr>
          <w:rFonts w:ascii="Aptos" w:hAnsi="Aptos"/>
        </w:rPr>
        <w:t>Questions about charges or financial support should initially be directed to the School Business Manager or Headteacher. Complaints about the application of this policy may be raised under the school’s Complaints Policy and Procedure.</w:t>
      </w:r>
    </w:p>
    <w:p>
      <w:pPr/>
      <w:r>
        <w:rPr>
          <w:rFonts w:ascii="Aptos" w:hAnsi="Aptos"/>
        </w:rPr>
        <w:t>The Governing Body will review this policy at least annually and earlier where legislation, DfE guidance, Essex County Council arrangements or the school’s provision changes.</w:t>
      </w:r>
    </w:p>
    <w:p>
      <w:pPr>
        <w:pStyle w:val="Heading1"/>
      </w:pPr>
      <w:r>
        <w:rPr>
          <w:rFonts w:ascii="Aptos" w:hAnsi="Aptos"/>
        </w:rPr>
        <w:t>Appendix 1 – Charging Decision Guide</w:t>
      </w:r>
    </w:p>
    <w:p>
      <w:pPr/>
      <w:r>
        <w:rPr>
          <w:rFonts w:ascii="Aptos" w:hAnsi="Aptos"/>
        </w:rPr>
        <w:t>This quick guide supports staff when planning activities. If the answer is unclear, check with the Headteacher or School Business Manager before communicating a payment request to parents.</w:t>
      </w:r>
    </w:p>
    <w:tbl>
      <w:tblPr>
        <w:tblW w:type="auto" w:w="0"/>
        <w:jc w:val="center"/>
        <w:tblLook w:firstColumn="1" w:firstRow="1" w:lastColumn="0" w:lastRow="0" w:noHBand="0" w:noVBand="1" w:val="04A0"/>
        <w:tblBorders>
          <w:top w:val="single" w:sz="4" w:color="D7D9DE"/>
          <w:left w:val="single" w:sz="4" w:color="D7D9DE"/>
          <w:bottom w:val="single" w:sz="4" w:color="D7D9DE"/>
          <w:right w:val="single" w:sz="4" w:color="D7D9DE"/>
          <w:insideH w:val="single" w:sz="4" w:color="D7D9DE"/>
          <w:insideV w:val="single" w:sz="4" w:color="D7D9DE"/>
        </w:tblBorders>
      </w:tblPr>
      <w:tblGrid>
        <w:gridCol w:w="3389"/>
        <w:gridCol w:w="3389"/>
        <w:gridCol w:w="3389"/>
      </w:tblGrid>
      <w:tr>
        <w:trPr>
          <w:tblHeader w:val="true"/>
          <w:cantSplit/>
        </w:trPr>
        <w:tc>
          <w:tcPr>
            <w:tcW w:type="dxa" w:w="3816"/>
            <w:shd w:fill="3E2B8F"/>
            <w:tcMar>
              <w:top w:w="80" w:type="dxa"/>
              <w:start w:w="100" w:type="dxa"/>
              <w:bottom w:w="80" w:type="dxa"/>
              <w:end w:w="100" w:type="dxa"/>
            </w:tcMar>
          </w:tcPr>
          <w:p>
            <w:r>
              <w:rPr>
                <w:rFonts w:ascii="Aptos" w:hAnsi="Aptos"/>
                <w:b/>
                <w:color w:val="FFFFFF"/>
                <w:sz w:val="19"/>
              </w:rPr>
              <w:t>Situation</w:t>
            </w:r>
          </w:p>
        </w:tc>
        <w:tc>
          <w:tcPr>
            <w:tcW w:type="dxa" w:w="1944"/>
            <w:shd w:fill="3E2B8F"/>
            <w:tcMar>
              <w:top w:w="80" w:type="dxa"/>
              <w:start w:w="100" w:type="dxa"/>
              <w:bottom w:w="80" w:type="dxa"/>
              <w:end w:w="100" w:type="dxa"/>
            </w:tcMar>
          </w:tcPr>
          <w:p>
            <w:r>
              <w:rPr>
                <w:rFonts w:ascii="Aptos" w:hAnsi="Aptos"/>
                <w:b/>
                <w:color w:val="FFFFFF"/>
                <w:sz w:val="19"/>
              </w:rPr>
              <w:t>Can we charge?</w:t>
            </w:r>
          </w:p>
        </w:tc>
        <w:tc>
          <w:tcPr>
            <w:tcW w:type="dxa" w:w="4320"/>
            <w:shd w:fill="3E2B8F"/>
            <w:tcMar>
              <w:top w:w="80" w:type="dxa"/>
              <w:start w:w="100" w:type="dxa"/>
              <w:bottom w:w="80" w:type="dxa"/>
              <w:end w:w="100" w:type="dxa"/>
            </w:tcMar>
          </w:tcPr>
          <w:p>
            <w:r>
              <w:rPr>
                <w:rFonts w:ascii="Aptos" w:hAnsi="Aptos"/>
                <w:b/>
                <w:color w:val="FFFFFF"/>
                <w:sz w:val="19"/>
              </w:rPr>
              <w:t>Key point</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Curriculum education during school hours</w:t>
            </w:r>
          </w:p>
        </w:tc>
        <w:tc>
          <w:tcPr>
            <w:tcW w:type="dxa" w:w="3389"/>
            <w:tcMar>
              <w:top w:w="80" w:type="dxa"/>
              <w:start w:w="100" w:type="dxa"/>
              <w:bottom w:w="80" w:type="dxa"/>
              <w:end w:w="100" w:type="dxa"/>
            </w:tcMar>
            <w:vAlign w:val="top"/>
            <w:shd w:fill="FFF8D9"/>
          </w:tcPr>
          <w:p>
            <w:r>
              <w:rPr>
                <w:rFonts w:ascii="Aptos" w:hAnsi="Aptos"/>
                <w:b/>
                <w:color w:val="3E2B8F"/>
                <w:sz w:val="18"/>
              </w:rPr>
              <w:t>No</w:t>
            </w:r>
          </w:p>
        </w:tc>
        <w:tc>
          <w:tcPr>
            <w:tcW w:type="dxa" w:w="3389"/>
            <w:tcMar>
              <w:top w:w="80" w:type="dxa"/>
              <w:start w:w="100" w:type="dxa"/>
              <w:bottom w:w="80" w:type="dxa"/>
              <w:end w:w="100" w:type="dxa"/>
            </w:tcMar>
            <w:vAlign w:val="top"/>
          </w:tcPr>
          <w:p>
            <w:r>
              <w:rPr>
                <w:rFonts w:ascii="Aptos" w:hAnsi="Aptos"/>
                <w:b w:val="0"/>
                <w:color w:val="25324A"/>
                <w:sz w:val="18"/>
              </w:rPr>
              <w:t>Education and necessary materials/equipment are free. A voluntary contribution may be requested.</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Curriculum visit during school hours</w:t>
            </w:r>
          </w:p>
        </w:tc>
        <w:tc>
          <w:tcPr>
            <w:tcW w:type="dxa" w:w="3389"/>
            <w:tcMar>
              <w:top w:w="80" w:type="dxa"/>
              <w:start w:w="100" w:type="dxa"/>
              <w:bottom w:w="80" w:type="dxa"/>
              <w:end w:w="100" w:type="dxa"/>
            </w:tcMar>
            <w:vAlign w:val="top"/>
            <w:shd w:fill="FFF8D9"/>
          </w:tcPr>
          <w:p>
            <w:r>
              <w:rPr>
                <w:rFonts w:ascii="Aptos" w:hAnsi="Aptos"/>
                <w:b/>
                <w:color w:val="3E2B8F"/>
                <w:sz w:val="18"/>
              </w:rPr>
              <w:t>No compulsory charge</w:t>
            </w:r>
          </w:p>
        </w:tc>
        <w:tc>
          <w:tcPr>
            <w:tcW w:type="dxa" w:w="3389"/>
            <w:tcMar>
              <w:top w:w="80" w:type="dxa"/>
              <w:start w:w="100" w:type="dxa"/>
              <w:bottom w:w="80" w:type="dxa"/>
              <w:end w:w="100" w:type="dxa"/>
            </w:tcMar>
            <w:vAlign w:val="top"/>
          </w:tcPr>
          <w:p>
            <w:r>
              <w:rPr>
                <w:rFonts w:ascii="Aptos" w:hAnsi="Aptos"/>
                <w:b w:val="0"/>
                <w:color w:val="25324A"/>
                <w:sz w:val="18"/>
              </w:rPr>
              <w:t>Voluntary contributions may be requested. No child is excluded because a parent does not contribute.</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Optional after-school activity not required by the curriculum</w:t>
            </w:r>
          </w:p>
        </w:tc>
        <w:tc>
          <w:tcPr>
            <w:tcW w:type="dxa" w:w="3389"/>
            <w:tcMar>
              <w:top w:w="80" w:type="dxa"/>
              <w:start w:w="100" w:type="dxa"/>
              <w:bottom w:w="80" w:type="dxa"/>
              <w:end w:w="100" w:type="dxa"/>
            </w:tcMar>
            <w:vAlign w:val="top"/>
            <w:shd w:fill="FFF8D9"/>
          </w:tcPr>
          <w:p>
            <w:r>
              <w:rPr>
                <w:rFonts w:ascii="Aptos" w:hAnsi="Aptos"/>
                <w:b/>
                <w:color w:val="3E2B8F"/>
                <w:sz w:val="18"/>
              </w:rPr>
              <w:t>Yes</w:t>
            </w:r>
          </w:p>
        </w:tc>
        <w:tc>
          <w:tcPr>
            <w:tcW w:type="dxa" w:w="3389"/>
            <w:tcMar>
              <w:top w:w="80" w:type="dxa"/>
              <w:start w:w="100" w:type="dxa"/>
              <w:bottom w:w="80" w:type="dxa"/>
              <w:end w:w="100" w:type="dxa"/>
            </w:tcMar>
            <w:vAlign w:val="top"/>
          </w:tcPr>
          <w:p>
            <w:r>
              <w:rPr>
                <w:rFonts w:ascii="Aptos" w:hAnsi="Aptos"/>
                <w:b w:val="0"/>
                <w:color w:val="25324A"/>
                <w:sz w:val="18"/>
              </w:rPr>
              <w:t>Parental agreement required. Charge must not exceed permitted actual costs.</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External-provider after-school club paid directly by parents</w:t>
            </w:r>
          </w:p>
        </w:tc>
        <w:tc>
          <w:tcPr>
            <w:tcW w:type="dxa" w:w="3389"/>
            <w:tcMar>
              <w:top w:w="80" w:type="dxa"/>
              <w:start w:w="100" w:type="dxa"/>
              <w:bottom w:w="80" w:type="dxa"/>
              <w:end w:w="100" w:type="dxa"/>
            </w:tcMar>
            <w:vAlign w:val="top"/>
            <w:shd w:fill="FFF8D9"/>
          </w:tcPr>
          <w:p>
            <w:r>
              <w:rPr>
                <w:rFonts w:ascii="Aptos" w:hAnsi="Aptos"/>
                <w:b/>
                <w:color w:val="3E2B8F"/>
                <w:sz w:val="18"/>
              </w:rPr>
              <w:t>Yes – provider fee</w:t>
            </w:r>
          </w:p>
        </w:tc>
        <w:tc>
          <w:tcPr>
            <w:tcW w:type="dxa" w:w="3389"/>
            <w:tcMar>
              <w:top w:w="80" w:type="dxa"/>
              <w:start w:w="100" w:type="dxa"/>
              <w:bottom w:w="80" w:type="dxa"/>
              <w:end w:w="100" w:type="dxa"/>
            </w:tcMar>
            <w:vAlign w:val="top"/>
          </w:tcPr>
          <w:p>
            <w:r>
              <w:rPr>
                <w:rFonts w:ascii="Aptos" w:hAnsi="Aptos"/>
                <w:b w:val="0"/>
                <w:color w:val="25324A"/>
                <w:sz w:val="18"/>
              </w:rPr>
              <w:t>Make clear that the provider, not the school, is charging the family.</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Residential visit – education/travel where charging is prohibited</w:t>
            </w:r>
          </w:p>
        </w:tc>
        <w:tc>
          <w:tcPr>
            <w:tcW w:type="dxa" w:w="3389"/>
            <w:tcMar>
              <w:top w:w="80" w:type="dxa"/>
              <w:start w:w="100" w:type="dxa"/>
              <w:bottom w:w="80" w:type="dxa"/>
              <w:end w:w="100" w:type="dxa"/>
            </w:tcMar>
            <w:vAlign w:val="top"/>
            <w:shd w:fill="FFF8D9"/>
          </w:tcPr>
          <w:p>
            <w:r>
              <w:rPr>
                <w:rFonts w:ascii="Aptos" w:hAnsi="Aptos"/>
                <w:b/>
                <w:color w:val="3E2B8F"/>
                <w:sz w:val="18"/>
              </w:rPr>
              <w:t>No</w:t>
            </w:r>
          </w:p>
        </w:tc>
        <w:tc>
          <w:tcPr>
            <w:tcW w:type="dxa" w:w="3389"/>
            <w:tcMar>
              <w:top w:w="80" w:type="dxa"/>
              <w:start w:w="100" w:type="dxa"/>
              <w:bottom w:w="80" w:type="dxa"/>
              <w:end w:w="100" w:type="dxa"/>
            </w:tcMar>
            <w:vAlign w:val="top"/>
          </w:tcPr>
          <w:p>
            <w:r>
              <w:rPr>
                <w:rFonts w:ascii="Aptos" w:hAnsi="Aptos"/>
                <w:b w:val="0"/>
                <w:color w:val="25324A"/>
                <w:sz w:val="18"/>
              </w:rPr>
              <w:t>No compulsory charge for the education/travel. Voluntary contribution may be requested where lawful.</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Residential visit – board and lodging</w:t>
            </w:r>
          </w:p>
        </w:tc>
        <w:tc>
          <w:tcPr>
            <w:tcW w:type="dxa" w:w="3389"/>
            <w:tcMar>
              <w:top w:w="80" w:type="dxa"/>
              <w:start w:w="100" w:type="dxa"/>
              <w:bottom w:w="80" w:type="dxa"/>
              <w:end w:w="100" w:type="dxa"/>
            </w:tcMar>
            <w:vAlign w:val="top"/>
            <w:shd w:fill="FFF8D9"/>
          </w:tcPr>
          <w:p>
            <w:r>
              <w:rPr>
                <w:rFonts w:ascii="Aptos" w:hAnsi="Aptos"/>
                <w:b/>
                <w:color w:val="3E2B8F"/>
                <w:sz w:val="18"/>
              </w:rPr>
              <w:t>Yes</w:t>
            </w:r>
          </w:p>
        </w:tc>
        <w:tc>
          <w:tcPr>
            <w:tcW w:type="dxa" w:w="3389"/>
            <w:tcMar>
              <w:top w:w="80" w:type="dxa"/>
              <w:start w:w="100" w:type="dxa"/>
              <w:bottom w:w="80" w:type="dxa"/>
              <w:end w:w="100" w:type="dxa"/>
            </w:tcMar>
            <w:vAlign w:val="top"/>
          </w:tcPr>
          <w:p>
            <w:r>
              <w:rPr>
                <w:rFonts w:ascii="Aptos" w:hAnsi="Aptos"/>
                <w:b w:val="0"/>
                <w:color w:val="25324A"/>
                <w:sz w:val="18"/>
              </w:rPr>
              <w:t>No more than actual cost. Full remission where statutory eligibility criteria are met.</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Cooking/craft materials where family wants finished product</w:t>
            </w:r>
          </w:p>
        </w:tc>
        <w:tc>
          <w:tcPr>
            <w:tcW w:type="dxa" w:w="3389"/>
            <w:tcMar>
              <w:top w:w="80" w:type="dxa"/>
              <w:start w:w="100" w:type="dxa"/>
              <w:bottom w:w="80" w:type="dxa"/>
              <w:end w:w="100" w:type="dxa"/>
            </w:tcMar>
            <w:vAlign w:val="top"/>
            <w:shd w:fill="FFF8D9"/>
          </w:tcPr>
          <w:p>
            <w:r>
              <w:rPr>
                <w:rFonts w:ascii="Aptos" w:hAnsi="Aptos"/>
                <w:b/>
                <w:color w:val="3E2B8F"/>
                <w:sz w:val="18"/>
              </w:rPr>
              <w:t>Yes</w:t>
            </w:r>
          </w:p>
        </w:tc>
        <w:tc>
          <w:tcPr>
            <w:tcW w:type="dxa" w:w="3389"/>
            <w:tcMar>
              <w:top w:w="80" w:type="dxa"/>
              <w:start w:w="100" w:type="dxa"/>
              <w:bottom w:w="80" w:type="dxa"/>
              <w:end w:w="100" w:type="dxa"/>
            </w:tcMar>
            <w:vAlign w:val="top"/>
          </w:tcPr>
          <w:p>
            <w:r>
              <w:rPr>
                <w:rFonts w:ascii="Aptos" w:hAnsi="Aptos"/>
                <w:b w:val="0"/>
                <w:color w:val="25324A"/>
                <w:sz w:val="18"/>
              </w:rPr>
              <w:t>Parent must indicate in advance that they wish the child to own/take home the product.</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Music tuition requested by parent</w:t>
            </w:r>
          </w:p>
        </w:tc>
        <w:tc>
          <w:tcPr>
            <w:tcW w:type="dxa" w:w="3389"/>
            <w:tcMar>
              <w:top w:w="80" w:type="dxa"/>
              <w:start w:w="100" w:type="dxa"/>
              <w:bottom w:w="80" w:type="dxa"/>
              <w:end w:w="100" w:type="dxa"/>
            </w:tcMar>
            <w:vAlign w:val="top"/>
            <w:shd w:fill="FFF8D9"/>
          </w:tcPr>
          <w:p>
            <w:r>
              <w:rPr>
                <w:rFonts w:ascii="Aptos" w:hAnsi="Aptos"/>
                <w:b/>
                <w:color w:val="3E2B8F"/>
                <w:sz w:val="18"/>
              </w:rPr>
              <w:t>Usually yes</w:t>
            </w:r>
          </w:p>
        </w:tc>
        <w:tc>
          <w:tcPr>
            <w:tcW w:type="dxa" w:w="3389"/>
            <w:tcMar>
              <w:top w:w="80" w:type="dxa"/>
              <w:start w:w="100" w:type="dxa"/>
              <w:bottom w:w="80" w:type="dxa"/>
              <w:end w:w="100" w:type="dxa"/>
            </w:tcMar>
            <w:vAlign w:val="top"/>
          </w:tcPr>
          <w:p>
            <w:r>
              <w:rPr>
                <w:rFonts w:ascii="Aptos" w:hAnsi="Aptos"/>
                <w:b w:val="0"/>
                <w:color w:val="25324A"/>
                <w:sz w:val="18"/>
              </w:rPr>
              <w:t>Only where regulations permit; exemptions apply.</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School meal where pupil is not entitled to a free meal</w:t>
            </w:r>
          </w:p>
        </w:tc>
        <w:tc>
          <w:tcPr>
            <w:tcW w:type="dxa" w:w="3389"/>
            <w:tcMar>
              <w:top w:w="80" w:type="dxa"/>
              <w:start w:w="100" w:type="dxa"/>
              <w:bottom w:w="80" w:type="dxa"/>
              <w:end w:w="100" w:type="dxa"/>
            </w:tcMar>
            <w:vAlign w:val="top"/>
            <w:shd w:fill="FFF8D9"/>
          </w:tcPr>
          <w:p>
            <w:r>
              <w:rPr>
                <w:rFonts w:ascii="Aptos" w:hAnsi="Aptos"/>
                <w:b/>
                <w:color w:val="3E2B8F"/>
                <w:sz w:val="18"/>
              </w:rPr>
              <w:t>Yes</w:t>
            </w:r>
          </w:p>
        </w:tc>
        <w:tc>
          <w:tcPr>
            <w:tcW w:type="dxa" w:w="3389"/>
            <w:tcMar>
              <w:top w:w="80" w:type="dxa"/>
              <w:start w:w="100" w:type="dxa"/>
              <w:bottom w:w="80" w:type="dxa"/>
              <w:end w:w="100" w:type="dxa"/>
            </w:tcMar>
            <w:vAlign w:val="top"/>
          </w:tcPr>
          <w:p>
            <w:r>
              <w:rPr>
                <w:rFonts w:ascii="Aptos" w:hAnsi="Aptos"/>
                <w:b w:val="0"/>
                <w:color w:val="25324A"/>
                <w:sz w:val="18"/>
              </w:rPr>
              <w:t>Charge published meal price.</w:t>
            </w:r>
          </w:p>
        </w:tc>
      </w:tr>
      <w:tr>
        <w:trPr>
          <w:cantSplit/>
        </w:trPr>
        <w:tc>
          <w:tcPr>
            <w:tcW w:type="dxa" w:w="3389"/>
            <w:tcMar>
              <w:top w:w="80" w:type="dxa"/>
              <w:start w:w="100" w:type="dxa"/>
              <w:bottom w:w="80" w:type="dxa"/>
              <w:end w:w="100" w:type="dxa"/>
            </w:tcMar>
            <w:vAlign w:val="top"/>
          </w:tcPr>
          <w:p>
            <w:r>
              <w:rPr>
                <w:rFonts w:ascii="Aptos" w:hAnsi="Aptos"/>
                <w:b w:val="0"/>
                <w:color w:val="25324A"/>
                <w:sz w:val="18"/>
              </w:rPr>
              <w:t>Wilful/negligent loss or damage to school property</w:t>
            </w:r>
          </w:p>
        </w:tc>
        <w:tc>
          <w:tcPr>
            <w:tcW w:type="dxa" w:w="3389"/>
            <w:tcMar>
              <w:top w:w="80" w:type="dxa"/>
              <w:start w:w="100" w:type="dxa"/>
              <w:bottom w:w="80" w:type="dxa"/>
              <w:end w:w="100" w:type="dxa"/>
            </w:tcMar>
            <w:vAlign w:val="top"/>
            <w:shd w:fill="FFF8D9"/>
          </w:tcPr>
          <w:p>
            <w:r>
              <w:rPr>
                <w:rFonts w:ascii="Aptos" w:hAnsi="Aptos"/>
                <w:b/>
                <w:color w:val="3E2B8F"/>
                <w:sz w:val="18"/>
              </w:rPr>
              <w:t>May seek reimbursement</w:t>
            </w:r>
          </w:p>
        </w:tc>
        <w:tc>
          <w:tcPr>
            <w:tcW w:type="dxa" w:w="3389"/>
            <w:tcMar>
              <w:top w:w="80" w:type="dxa"/>
              <w:start w:w="100" w:type="dxa"/>
              <w:bottom w:w="80" w:type="dxa"/>
              <w:end w:w="100" w:type="dxa"/>
            </w:tcMar>
            <w:vAlign w:val="top"/>
          </w:tcPr>
          <w:p>
            <w:r>
              <w:rPr>
                <w:rFonts w:ascii="Aptos" w:hAnsi="Aptos"/>
                <w:b w:val="0"/>
                <w:color w:val="25324A"/>
                <w:sz w:val="18"/>
              </w:rPr>
              <w:t>Consider circumstances and proportionality; not an automatic sanction.</w:t>
            </w:r>
          </w:p>
        </w:tc>
      </w:tr>
    </w:tbl>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EEEAF8"/>
            <w:tcMar>
              <w:top w:w="120" w:type="dxa"/>
              <w:start w:w="140" w:type="dxa"/>
              <w:bottom w:w="120" w:type="dxa"/>
              <w:end w:w="140" w:type="dxa"/>
            </w:tcMar>
          </w:tcPr>
          <w:p>
            <w:r>
              <w:rPr>
                <w:rFonts w:ascii="Aptos" w:hAnsi="Aptos"/>
                <w:b/>
                <w:color w:val="3E2B8F"/>
                <w:sz w:val="22"/>
              </w:rPr>
              <w:t>Before sending a payment request</w:t>
              <w:br/>
            </w:r>
            <w:r>
              <w:rPr>
                <w:rFonts w:ascii="Aptos" w:hAnsi="Aptos"/>
                <w:color w:val="25324A"/>
                <w:sz w:val="21"/>
              </w:rPr>
              <w:t>Ask: Is this a compulsory charge or a voluntary contribution? Is the charge expressly permitted? Does the wording make the status clear? Have remission/support arrangements been considered? If in doubt, check before sending.</w:t>
            </w:r>
          </w:p>
        </w:tc>
      </w:tr>
    </w:tbl>
    <w:p>
      <w:pPr>
        <w:spacing w:after="0" w:before="0" w:line="20" w:lineRule="exact"/>
      </w:pPr>
      <w:r>
        <w:rPr>
          <w:sz w:val="2"/>
        </w:rPr>
      </w:r>
    </w:p>
    <w:sectPr w:rsidR="00FC693F" w:rsidRPr="0006063C" w:rsidSect="00034616">
      <w:footerReference w:type="default" r:id="rId10"/>
      <w:pgSz w:w="12240" w:h="15840"/>
      <w:pgMar w:top="792" w:right="1037" w:bottom="835" w:left="1037" w:header="288"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Bdr>
        <w:top w:val="single" w:sz="8" w:space="4" w:color="3E2B8F"/>
      </w:pBdr>
    </w:pPr>
    <w:r>
      <w:rPr>
        <w:rFonts w:ascii="Aptos" w:hAnsi="Aptos" w:eastAsia="Aptos" w:cs="Aptos"/>
        <w:b w:val="0"/>
        <w:color w:val="5F6B7A"/>
        <w:sz w:val="14"/>
      </w:rPr>
      <w:t>MANUDEN PRIMARY SCHOOL  |  The Street, Manuden, Bishop’s Stortford, CM23 1DE  |  01279 813370</w:t>
    </w:r>
  </w:p>
  <w:p>
    <w:pPr>
      <w:spacing w:before="20" w:after="0"/>
      <w:jc w:val="center"/>
    </w:pPr>
    <w:r>
      <w:rPr>
        <w:rFonts w:ascii="Aptos" w:hAnsi="Aptos" w:eastAsia="Aptos" w:cs="Aptos"/>
        <w:b w:val="0"/>
        <w:color w:val="5F6B7A"/>
        <w:sz w:val="14"/>
      </w:rPr>
      <w:t>www.manudenprimary.co.uk  |  office@manuden.essex.sch.uk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5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w:hAnsi="Aptos" w:eastAsia="Aptos" w:cs="Aptos"/>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w:hAnsi="Aptos" w:eastAsia="Aptos" w:cs="Aptos"/>
      <w:b/>
      <w:bCs/>
      <w:color w:val="25324A"/>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w:hAnsi="Aptos" w:eastAsia="Aptos" w:cs="Aptos"/>
      <w:b/>
      <w:bCs/>
      <w:color w:val="2532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color w:val="25324A"/>
      <w:sz w:val="21"/>
    </w:rPr>
  </w:style>
  <w:style w:type="paragraph" w:styleId="ListBullet2">
    <w:name w:val="List Bullet 2"/>
    <w:basedOn w:val="Normal"/>
    <w:uiPriority w:val="99"/>
    <w:unhideWhenUsed/>
    <w:rsid w:val="00326F90"/>
    <w:pPr>
      <w:numPr>
        <w:numId w:val="2"/>
      </w:numPr>
      <w:contextualSpacing/>
    </w:pPr>
    <w:rPr>
      <w:rFonts w:ascii="Aptos" w:hAnsi="Aptos"/>
      <w:color w:val="25324A"/>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color w:val="25324A"/>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yperlink" Target="https://www.gov.uk/government/publications/health-and-safety-advice-for-schools/responsibilities-and-duties-for-schools" TargetMode="External"/><Relationship Id="rId12" Type="http://schemas.openxmlformats.org/officeDocument/2006/relationships/hyperlink" Target="https://www.hse.gov.uk/education/" TargetMode="External"/><Relationship Id="rId13" Type="http://schemas.openxmlformats.org/officeDocument/2006/relationships/hyperlink" Target="https://www.hse.gov.uk/riddor/" TargetMode="External"/><Relationship Id="rId14" Type="http://schemas.openxmlformats.org/officeDocument/2006/relationships/hyperlink" Target="https://schools.essex.gov.uk/school-management/health-an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
  <cp:revision>1</cp:revision>
  <dcterms:created xsi:type="dcterms:W3CDTF">2013-12-23T23:15:00Z</dcterms:created>
  <dcterms:modified xsi:type="dcterms:W3CDTF">2013-12-23T23:15:00Z</dcterms:modified>
  <cp:category/>
</cp:coreProperties>
</file>